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B7" w:rsidRPr="00517843" w:rsidRDefault="006736B7" w:rsidP="001D0FE5">
      <w:pPr>
        <w:pStyle w:val="Heading2"/>
        <w:jc w:val="left"/>
        <w:rPr>
          <w:color w:val="auto"/>
        </w:rPr>
      </w:pPr>
      <w:r w:rsidRPr="00517843">
        <w:rPr>
          <w:color w:val="auto"/>
        </w:rPr>
        <w:t>Lancashire will be the place to live</w:t>
      </w:r>
    </w:p>
    <w:p w:rsidR="001D0FE5" w:rsidRPr="00517843" w:rsidRDefault="001D0FE5" w:rsidP="001D0FE5">
      <w:pPr>
        <w:pStyle w:val="NoSpacing"/>
        <w:jc w:val="right"/>
        <w:rPr>
          <w:rFonts w:eastAsiaTheme="minorHAnsi"/>
          <w:i/>
        </w:rPr>
      </w:pPr>
      <w:r w:rsidRPr="00517843">
        <w:rPr>
          <w:rFonts w:eastAsiaTheme="minorHAnsi"/>
          <w:i/>
        </w:rPr>
        <w:t xml:space="preserve">Key for performance: </w:t>
      </w:r>
    </w:p>
    <w:tbl>
      <w:tblPr>
        <w:tblW w:w="5967" w:type="dxa"/>
        <w:jc w:val="right"/>
        <w:tblLook w:val="04A0" w:firstRow="1" w:lastRow="0" w:firstColumn="1" w:lastColumn="0" w:noHBand="0" w:noVBand="1"/>
      </w:tblPr>
      <w:tblGrid>
        <w:gridCol w:w="1447"/>
        <w:gridCol w:w="2440"/>
        <w:gridCol w:w="2080"/>
      </w:tblGrid>
      <w:tr w:rsidR="0001784B" w:rsidRPr="00517843" w:rsidTr="0001784B">
        <w:trPr>
          <w:trHeight w:val="172"/>
          <w:jc w:val="right"/>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1D0FE5" w:rsidRPr="00517843" w:rsidRDefault="001D0FE5" w:rsidP="00AB4748">
            <w:pPr>
              <w:rPr>
                <w:rFonts w:cs="Arial"/>
                <w:i/>
                <w:iCs/>
                <w:color w:val="auto"/>
                <w:sz w:val="18"/>
                <w:szCs w:val="18"/>
              </w:rPr>
            </w:pPr>
            <w:r w:rsidRPr="00517843">
              <w:rPr>
                <w:rFonts w:cs="Arial"/>
                <w:i/>
                <w:iCs/>
                <w:color w:val="auto"/>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rsidR="001D0FE5" w:rsidRPr="00517843" w:rsidRDefault="001D0FE5" w:rsidP="00AB4748">
            <w:pPr>
              <w:rPr>
                <w:rFonts w:cs="Arial"/>
                <w:i/>
                <w:iCs/>
                <w:color w:val="auto"/>
                <w:sz w:val="18"/>
                <w:szCs w:val="18"/>
              </w:rPr>
            </w:pPr>
            <w:r w:rsidRPr="00517843">
              <w:rPr>
                <w:rFonts w:cs="Arial"/>
                <w:i/>
                <w:iCs/>
                <w:color w:val="auto"/>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rsidR="001D0FE5" w:rsidRPr="00517843" w:rsidRDefault="001D0FE5" w:rsidP="00AB4748">
            <w:pPr>
              <w:rPr>
                <w:rFonts w:cs="Arial"/>
                <w:i/>
                <w:color w:val="auto"/>
                <w:sz w:val="18"/>
                <w:szCs w:val="18"/>
              </w:rPr>
            </w:pPr>
            <w:r w:rsidRPr="00517843">
              <w:rPr>
                <w:rFonts w:cs="Arial"/>
                <w:i/>
                <w:color w:val="FFFFFF" w:themeColor="background1"/>
                <w:sz w:val="18"/>
                <w:szCs w:val="18"/>
              </w:rPr>
              <w:t>Requires improvement</w:t>
            </w:r>
          </w:p>
        </w:tc>
      </w:tr>
    </w:tbl>
    <w:p w:rsidR="00622E7F" w:rsidRPr="00BD4E0A" w:rsidRDefault="00622E7F" w:rsidP="00622E7F">
      <w:pPr>
        <w:pStyle w:val="NoSpacing"/>
        <w:rPr>
          <w:rFonts w:ascii="Arial" w:hAnsi="Arial" w:cs="Arial"/>
          <w:color w:val="0070C0"/>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418"/>
        <w:gridCol w:w="1692"/>
        <w:gridCol w:w="852"/>
        <w:gridCol w:w="1712"/>
        <w:gridCol w:w="1418"/>
        <w:gridCol w:w="1419"/>
        <w:gridCol w:w="1702"/>
        <w:gridCol w:w="1125"/>
      </w:tblGrid>
      <w:tr w:rsidR="00517843" w:rsidRPr="00BD4E0A" w:rsidTr="00E34EF7">
        <w:trPr>
          <w:trHeight w:val="691"/>
          <w:jc w:val="center"/>
        </w:trPr>
        <w:tc>
          <w:tcPr>
            <w:tcW w:w="2549" w:type="dxa"/>
            <w:tcBorders>
              <w:top w:val="single" w:sz="4" w:space="0" w:color="auto"/>
              <w:left w:val="single" w:sz="4" w:space="0" w:color="auto"/>
              <w:bottom w:val="single" w:sz="4" w:space="0" w:color="auto"/>
              <w:right w:val="single" w:sz="4" w:space="0" w:color="auto"/>
            </w:tcBorders>
            <w:hideMark/>
          </w:tcPr>
          <w:p w:rsidR="00622E7F" w:rsidRPr="00517843" w:rsidRDefault="00622E7F" w:rsidP="00E34EF7">
            <w:pPr>
              <w:pStyle w:val="NoSpacing"/>
              <w:rPr>
                <w:rFonts w:ascii="Arial" w:hAnsi="Arial" w:cs="Arial"/>
                <w:b/>
              </w:rPr>
            </w:pPr>
            <w:r w:rsidRPr="00517843">
              <w:rPr>
                <w:rFonts w:ascii="Arial" w:hAnsi="Arial" w:cs="Arial"/>
                <w:b/>
              </w:rPr>
              <w:t>Performance Indicator</w:t>
            </w:r>
          </w:p>
          <w:p w:rsidR="00622E7F" w:rsidRPr="00517843" w:rsidRDefault="00622E7F" w:rsidP="00E34EF7">
            <w:pPr>
              <w:pStyle w:val="NoSpacing"/>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b/>
              </w:rPr>
            </w:pPr>
            <w:r w:rsidRPr="00517843">
              <w:rPr>
                <w:rFonts w:ascii="Arial" w:hAnsi="Arial" w:cs="Arial"/>
                <w:b/>
              </w:rPr>
              <w:t>Frequency</w:t>
            </w:r>
          </w:p>
        </w:tc>
        <w:tc>
          <w:tcPr>
            <w:tcW w:w="169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 xml:space="preserve">Directorate </w:t>
            </w:r>
          </w:p>
        </w:tc>
        <w:tc>
          <w:tcPr>
            <w:tcW w:w="85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Good is</w:t>
            </w:r>
          </w:p>
        </w:tc>
        <w:tc>
          <w:tcPr>
            <w:tcW w:w="171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Q4 2018-19</w:t>
            </w:r>
          </w:p>
        </w:tc>
        <w:tc>
          <w:tcPr>
            <w:tcW w:w="1418"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Q1 2019-18</w:t>
            </w:r>
          </w:p>
          <w:p w:rsidR="00622E7F" w:rsidRPr="00517843" w:rsidRDefault="00622E7F" w:rsidP="00622E7F">
            <w:pPr>
              <w:pStyle w:val="NoSpacing"/>
              <w:rPr>
                <w:rFonts w:ascii="Arial" w:hAnsi="Arial" w:cs="Arial"/>
                <w:b/>
              </w:rPr>
            </w:pPr>
            <w:r w:rsidRPr="00517843">
              <w:rPr>
                <w:rFonts w:ascii="Arial" w:hAnsi="Arial" w:cs="Arial"/>
                <w:b/>
              </w:rPr>
              <w:t>(April-June)</w:t>
            </w:r>
          </w:p>
        </w:tc>
        <w:tc>
          <w:tcPr>
            <w:tcW w:w="1419"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Q2</w:t>
            </w:r>
          </w:p>
          <w:p w:rsidR="00622E7F" w:rsidRPr="00517843" w:rsidRDefault="00622E7F" w:rsidP="00622E7F">
            <w:pPr>
              <w:pStyle w:val="NoSpacing"/>
              <w:rPr>
                <w:rFonts w:ascii="Arial" w:hAnsi="Arial" w:cs="Arial"/>
                <w:b/>
              </w:rPr>
            </w:pPr>
            <w:r w:rsidRPr="00517843">
              <w:rPr>
                <w:rFonts w:ascii="Arial" w:hAnsi="Arial" w:cs="Arial"/>
                <w:b/>
              </w:rPr>
              <w:t>(July- Sep)</w:t>
            </w:r>
          </w:p>
        </w:tc>
        <w:tc>
          <w:tcPr>
            <w:tcW w:w="170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Current Performance (Q3)</w:t>
            </w:r>
          </w:p>
        </w:tc>
        <w:tc>
          <w:tcPr>
            <w:tcW w:w="1125" w:type="dxa"/>
            <w:tcBorders>
              <w:top w:val="single" w:sz="4" w:space="0" w:color="auto"/>
              <w:left w:val="single" w:sz="4" w:space="0" w:color="auto"/>
              <w:bottom w:val="single" w:sz="4" w:space="0" w:color="auto"/>
              <w:right w:val="single" w:sz="4" w:space="0" w:color="auto"/>
            </w:tcBorders>
          </w:tcPr>
          <w:p w:rsidR="00622E7F" w:rsidRPr="00517843" w:rsidRDefault="00622E7F" w:rsidP="00E34EF7">
            <w:pPr>
              <w:pStyle w:val="NoSpacing"/>
              <w:rPr>
                <w:rFonts w:ascii="Arial" w:hAnsi="Arial" w:cs="Arial"/>
                <w:b/>
              </w:rPr>
            </w:pPr>
            <w:r w:rsidRPr="00517843">
              <w:rPr>
                <w:rFonts w:ascii="Arial" w:hAnsi="Arial" w:cs="Arial"/>
                <w:b/>
              </w:rPr>
              <w:t>2020/21 Target</w:t>
            </w:r>
          </w:p>
        </w:tc>
      </w:tr>
      <w:tr w:rsidR="00517843" w:rsidRPr="00BD4E0A" w:rsidTr="00E34EF7">
        <w:trPr>
          <w:trHeight w:val="852"/>
          <w:jc w:val="center"/>
        </w:trPr>
        <w:tc>
          <w:tcPr>
            <w:tcW w:w="2549" w:type="dxa"/>
            <w:tcBorders>
              <w:top w:val="single" w:sz="4" w:space="0" w:color="auto"/>
              <w:left w:val="single" w:sz="4" w:space="0" w:color="auto"/>
              <w:bottom w:val="single" w:sz="4" w:space="0" w:color="auto"/>
              <w:right w:val="single" w:sz="4" w:space="0" w:color="auto"/>
            </w:tcBorders>
            <w:hideMark/>
          </w:tcPr>
          <w:p w:rsidR="00622E7F" w:rsidRPr="00517843" w:rsidRDefault="00F51064" w:rsidP="00E34EF7">
            <w:pPr>
              <w:pStyle w:val="NoSpacing"/>
              <w:rPr>
                <w:rFonts w:ascii="Arial" w:hAnsi="Arial" w:cs="Arial"/>
              </w:rPr>
            </w:pPr>
            <w:r>
              <w:rPr>
                <w:rFonts w:ascii="Arial" w:hAnsi="Arial" w:cs="Arial"/>
              </w:rPr>
              <w:t>Safety carriageway d</w:t>
            </w:r>
            <w:r w:rsidR="00622E7F" w:rsidRPr="00517843">
              <w:rPr>
                <w:rFonts w:ascii="Arial" w:hAnsi="Arial" w:cs="Arial"/>
              </w:rPr>
              <w:t>efects repaired within 4 hours (emergency)</w:t>
            </w:r>
          </w:p>
        </w:tc>
        <w:tc>
          <w:tcPr>
            <w:tcW w:w="1418"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95.65%</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96.67%</w:t>
            </w:r>
          </w:p>
          <w:p w:rsidR="00622E7F" w:rsidRPr="00517843" w:rsidRDefault="00622E7F" w:rsidP="00315598">
            <w:pPr>
              <w:pStyle w:val="NoSpacing"/>
              <w:rPr>
                <w:rFonts w:ascii="Arial" w:hAnsi="Arial" w:cs="Arial"/>
              </w:rPr>
            </w:pPr>
          </w:p>
        </w:tc>
        <w:tc>
          <w:tcPr>
            <w:tcW w:w="1419" w:type="dxa"/>
            <w:tcBorders>
              <w:top w:val="single" w:sz="4" w:space="0" w:color="auto"/>
              <w:left w:val="single" w:sz="4" w:space="0" w:color="auto"/>
              <w:bottom w:val="single" w:sz="4" w:space="0" w:color="auto"/>
              <w:right w:val="single" w:sz="4" w:space="0" w:color="auto"/>
            </w:tcBorders>
            <w:shd w:val="clear" w:color="auto" w:fill="FF0000"/>
          </w:tcPr>
          <w:p w:rsidR="00622E7F" w:rsidRPr="00517843" w:rsidRDefault="00622E7F" w:rsidP="00315598">
            <w:pPr>
              <w:pStyle w:val="NoSpacing"/>
              <w:rPr>
                <w:rFonts w:ascii="Arial" w:hAnsi="Arial" w:cs="Arial"/>
                <w:color w:val="FFFFFF" w:themeColor="background1"/>
              </w:rPr>
            </w:pPr>
            <w:r w:rsidRPr="00517843">
              <w:rPr>
                <w:rFonts w:ascii="Arial" w:hAnsi="Arial" w:cs="Arial"/>
                <w:color w:val="FFFFFF" w:themeColor="background1"/>
              </w:rPr>
              <w:t>91.46%</w:t>
            </w:r>
          </w:p>
          <w:p w:rsidR="00622E7F" w:rsidRPr="00BD4E0A" w:rsidRDefault="00622E7F" w:rsidP="00315598">
            <w:pPr>
              <w:pStyle w:val="NoSpacing"/>
              <w:rPr>
                <w:rFonts w:ascii="Arial" w:hAnsi="Arial" w:cs="Arial"/>
                <w:color w:val="0070C0"/>
              </w:rPr>
            </w:pPr>
          </w:p>
        </w:tc>
        <w:tc>
          <w:tcPr>
            <w:tcW w:w="1702" w:type="dxa"/>
            <w:tcBorders>
              <w:top w:val="single" w:sz="4" w:space="0" w:color="auto"/>
              <w:left w:val="single" w:sz="4" w:space="0" w:color="auto"/>
              <w:bottom w:val="single" w:sz="4" w:space="0" w:color="auto"/>
              <w:right w:val="single" w:sz="4" w:space="0" w:color="auto"/>
            </w:tcBorders>
            <w:shd w:val="clear" w:color="auto" w:fill="FF0000"/>
          </w:tcPr>
          <w:p w:rsidR="00622E7F" w:rsidRPr="00517843" w:rsidRDefault="00622E7F" w:rsidP="00315598">
            <w:pPr>
              <w:pStyle w:val="NoSpacing"/>
              <w:rPr>
                <w:rFonts w:ascii="Arial" w:hAnsi="Arial" w:cs="Arial"/>
                <w:color w:val="FFFFFF" w:themeColor="background1"/>
              </w:rPr>
            </w:pPr>
            <w:r w:rsidRPr="00517843">
              <w:rPr>
                <w:rFonts w:ascii="Arial" w:hAnsi="Arial" w:cs="Arial"/>
                <w:color w:val="FFFFFF" w:themeColor="background1"/>
              </w:rPr>
              <w:t>89.19%</w:t>
            </w:r>
          </w:p>
          <w:p w:rsidR="00622E7F" w:rsidRPr="00517843" w:rsidRDefault="00622E7F" w:rsidP="00315598">
            <w:pPr>
              <w:pStyle w:val="NoSpacing"/>
              <w:rPr>
                <w:rFonts w:ascii="Arial" w:hAnsi="Arial" w:cs="Arial"/>
                <w:color w:val="FFFFFF" w:themeColor="background1"/>
                <w:sz w:val="20"/>
                <w:szCs w:val="20"/>
              </w:rPr>
            </w:pPr>
          </w:p>
        </w:tc>
        <w:tc>
          <w:tcPr>
            <w:tcW w:w="1125" w:type="dxa"/>
            <w:tcBorders>
              <w:top w:val="single" w:sz="4" w:space="0" w:color="auto"/>
              <w:left w:val="single" w:sz="4" w:space="0" w:color="auto"/>
              <w:bottom w:val="single" w:sz="4" w:space="0" w:color="auto"/>
              <w:right w:val="single" w:sz="4" w:space="0" w:color="auto"/>
            </w:tcBorders>
          </w:tcPr>
          <w:p w:rsidR="00622E7F" w:rsidRPr="00517843" w:rsidRDefault="00622E7F" w:rsidP="00E34EF7">
            <w:pPr>
              <w:pStyle w:val="NoSpacing"/>
              <w:rPr>
                <w:rFonts w:ascii="Arial" w:hAnsi="Arial" w:cs="Arial"/>
              </w:rPr>
            </w:pPr>
          </w:p>
          <w:p w:rsidR="00622E7F" w:rsidRPr="00517843" w:rsidRDefault="00622E7F" w:rsidP="00E34EF7">
            <w:pPr>
              <w:pStyle w:val="NoSpacing"/>
              <w:rPr>
                <w:rFonts w:ascii="Arial" w:hAnsi="Arial" w:cs="Arial"/>
              </w:rPr>
            </w:pPr>
            <w:r w:rsidRPr="00517843">
              <w:rPr>
                <w:rFonts w:ascii="Arial" w:hAnsi="Arial" w:cs="Arial"/>
              </w:rPr>
              <w:t>95%</w:t>
            </w:r>
          </w:p>
        </w:tc>
      </w:tr>
      <w:tr w:rsidR="00517843" w:rsidRPr="00BD4E0A" w:rsidTr="00AC07E2">
        <w:trPr>
          <w:trHeight w:val="824"/>
          <w:jc w:val="center"/>
        </w:trPr>
        <w:tc>
          <w:tcPr>
            <w:tcW w:w="2549" w:type="dxa"/>
            <w:tcBorders>
              <w:top w:val="single" w:sz="4" w:space="0" w:color="auto"/>
              <w:left w:val="single" w:sz="4" w:space="0" w:color="auto"/>
              <w:bottom w:val="single" w:sz="4" w:space="0" w:color="auto"/>
              <w:right w:val="single" w:sz="4" w:space="0" w:color="auto"/>
            </w:tcBorders>
            <w:hideMark/>
          </w:tcPr>
          <w:p w:rsidR="00622E7F" w:rsidRPr="00517843" w:rsidRDefault="00F51064" w:rsidP="00E34EF7">
            <w:pPr>
              <w:pStyle w:val="NoSpacing"/>
              <w:rPr>
                <w:rFonts w:ascii="Arial" w:hAnsi="Arial" w:cs="Arial"/>
              </w:rPr>
            </w:pPr>
            <w:r>
              <w:rPr>
                <w:rFonts w:ascii="Arial" w:hAnsi="Arial" w:cs="Arial"/>
              </w:rPr>
              <w:t>Safety carriageway d</w:t>
            </w:r>
            <w:r w:rsidR="00622E7F" w:rsidRPr="00517843">
              <w:rPr>
                <w:rFonts w:ascii="Arial" w:hAnsi="Arial" w:cs="Arial"/>
              </w:rPr>
              <w:t>efects repaired within 2 working days (urgent)</w:t>
            </w:r>
          </w:p>
        </w:tc>
        <w:tc>
          <w:tcPr>
            <w:tcW w:w="1418"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22E7F" w:rsidRPr="00517843" w:rsidRDefault="00622E7F" w:rsidP="00315598">
            <w:pPr>
              <w:pStyle w:val="NoSpacing"/>
              <w:rPr>
                <w:rFonts w:ascii="Arial" w:hAnsi="Arial" w:cs="Arial"/>
              </w:rPr>
            </w:pPr>
            <w:r w:rsidRPr="00517843">
              <w:rPr>
                <w:rFonts w:ascii="Arial" w:hAnsi="Arial" w:cs="Arial"/>
              </w:rPr>
              <w:t>94.14%</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rsidR="00622E7F" w:rsidRPr="00517843" w:rsidRDefault="00622E7F" w:rsidP="00315598">
            <w:pPr>
              <w:pStyle w:val="NoSpacing"/>
              <w:rPr>
                <w:rFonts w:ascii="Arial" w:hAnsi="Arial" w:cs="Arial"/>
                <w:color w:val="FFFFFF" w:themeColor="background1"/>
              </w:rPr>
            </w:pPr>
            <w:r w:rsidRPr="00517843">
              <w:rPr>
                <w:rFonts w:ascii="Arial" w:hAnsi="Arial" w:cs="Arial"/>
                <w:color w:val="FFFFFF" w:themeColor="background1"/>
              </w:rPr>
              <w:t>88.76%</w:t>
            </w:r>
          </w:p>
        </w:tc>
        <w:tc>
          <w:tcPr>
            <w:tcW w:w="141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96.05%</w:t>
            </w:r>
          </w:p>
          <w:p w:rsidR="00622E7F" w:rsidRPr="00BD4E0A" w:rsidRDefault="00622E7F" w:rsidP="00315598">
            <w:pPr>
              <w:pStyle w:val="NoSpacing"/>
              <w:rPr>
                <w:rFonts w:ascii="Arial" w:hAnsi="Arial" w:cs="Arial"/>
                <w:color w:val="0070C0"/>
              </w:rPr>
            </w:pPr>
          </w:p>
        </w:tc>
        <w:tc>
          <w:tcPr>
            <w:tcW w:w="170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622E7F" w:rsidRPr="00AC07E2" w:rsidRDefault="00622E7F" w:rsidP="00315598">
            <w:pPr>
              <w:pStyle w:val="NoSpacing"/>
              <w:rPr>
                <w:rFonts w:ascii="Arial" w:hAnsi="Arial" w:cs="Arial"/>
              </w:rPr>
            </w:pPr>
            <w:r w:rsidRPr="00AC07E2">
              <w:rPr>
                <w:rFonts w:ascii="Arial" w:hAnsi="Arial" w:cs="Arial"/>
              </w:rPr>
              <w:t>93.69%</w:t>
            </w:r>
          </w:p>
          <w:p w:rsidR="00622E7F" w:rsidRPr="00517843" w:rsidRDefault="00622E7F" w:rsidP="00315598">
            <w:pPr>
              <w:pStyle w:val="NoSpacing"/>
              <w:rPr>
                <w:rFonts w:ascii="Arial" w:hAnsi="Arial" w:cs="Arial"/>
                <w:color w:val="FFFFFF" w:themeColor="background1"/>
              </w:rPr>
            </w:pPr>
          </w:p>
        </w:tc>
        <w:tc>
          <w:tcPr>
            <w:tcW w:w="1125" w:type="dxa"/>
            <w:tcBorders>
              <w:top w:val="single" w:sz="4" w:space="0" w:color="auto"/>
              <w:left w:val="single" w:sz="4" w:space="0" w:color="auto"/>
              <w:bottom w:val="single" w:sz="4" w:space="0" w:color="auto"/>
              <w:right w:val="single" w:sz="4" w:space="0" w:color="auto"/>
            </w:tcBorders>
          </w:tcPr>
          <w:p w:rsidR="00622E7F" w:rsidRPr="00517843" w:rsidRDefault="00622E7F" w:rsidP="00E34EF7">
            <w:pPr>
              <w:pStyle w:val="NoSpacing"/>
              <w:rPr>
                <w:rFonts w:ascii="Arial" w:hAnsi="Arial" w:cs="Arial"/>
              </w:rPr>
            </w:pPr>
            <w:r w:rsidRPr="00517843">
              <w:rPr>
                <w:rFonts w:ascii="Arial" w:hAnsi="Arial" w:cs="Arial"/>
              </w:rPr>
              <w:t>95%</w:t>
            </w:r>
          </w:p>
        </w:tc>
      </w:tr>
      <w:tr w:rsidR="00517843" w:rsidRPr="00BD4E0A" w:rsidTr="00E34EF7">
        <w:trPr>
          <w:trHeight w:val="474"/>
          <w:jc w:val="center"/>
        </w:trPr>
        <w:tc>
          <w:tcPr>
            <w:tcW w:w="2549" w:type="dxa"/>
            <w:tcBorders>
              <w:top w:val="single" w:sz="4" w:space="0" w:color="auto"/>
              <w:left w:val="single" w:sz="4" w:space="0" w:color="auto"/>
              <w:bottom w:val="single" w:sz="4" w:space="0" w:color="auto"/>
              <w:right w:val="single" w:sz="4" w:space="0" w:color="auto"/>
            </w:tcBorders>
            <w:hideMark/>
          </w:tcPr>
          <w:p w:rsidR="00622E7F" w:rsidRPr="00517843" w:rsidRDefault="00F51064" w:rsidP="00E34EF7">
            <w:pPr>
              <w:pStyle w:val="NoSpacing"/>
              <w:rPr>
                <w:rFonts w:ascii="Arial" w:hAnsi="Arial" w:cs="Arial"/>
              </w:rPr>
            </w:pPr>
            <w:r>
              <w:rPr>
                <w:rFonts w:ascii="Arial" w:hAnsi="Arial" w:cs="Arial"/>
              </w:rPr>
              <w:t>Safety carriageway d</w:t>
            </w:r>
            <w:r w:rsidR="00622E7F" w:rsidRPr="00517843">
              <w:rPr>
                <w:rFonts w:ascii="Arial" w:hAnsi="Arial" w:cs="Arial"/>
              </w:rPr>
              <w:t xml:space="preserve">efects repaired within 5 working days (non-urgent) </w:t>
            </w:r>
          </w:p>
        </w:tc>
        <w:tc>
          <w:tcPr>
            <w:tcW w:w="1418"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FF0000"/>
          </w:tcPr>
          <w:p w:rsidR="00622E7F" w:rsidRPr="00BD4E0A" w:rsidRDefault="00622E7F" w:rsidP="00315598">
            <w:pPr>
              <w:pStyle w:val="NoSpacing"/>
              <w:rPr>
                <w:rFonts w:ascii="Arial" w:hAnsi="Arial" w:cs="Arial"/>
                <w:color w:val="0070C0"/>
              </w:rPr>
            </w:pPr>
            <w:r w:rsidRPr="00517843">
              <w:rPr>
                <w:rFonts w:ascii="Arial" w:hAnsi="Arial" w:cs="Arial"/>
                <w:color w:val="FFFFFF" w:themeColor="background1"/>
              </w:rPr>
              <w:t>81.47%</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rsidR="00622E7F" w:rsidRPr="00517843" w:rsidRDefault="00622E7F" w:rsidP="00315598">
            <w:pPr>
              <w:pStyle w:val="NoSpacing"/>
              <w:rPr>
                <w:rFonts w:ascii="Arial" w:hAnsi="Arial" w:cs="Arial"/>
                <w:color w:val="FFFFFF" w:themeColor="background1"/>
              </w:rPr>
            </w:pPr>
            <w:r w:rsidRPr="00517843">
              <w:rPr>
                <w:rFonts w:ascii="Arial" w:hAnsi="Arial" w:cs="Arial"/>
                <w:color w:val="FFFFFF" w:themeColor="background1"/>
              </w:rPr>
              <w:t>83.18%</w:t>
            </w:r>
          </w:p>
        </w:tc>
        <w:tc>
          <w:tcPr>
            <w:tcW w:w="141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897C4F" w:rsidP="00315598">
            <w:pPr>
              <w:pStyle w:val="NoSpacing"/>
              <w:rPr>
                <w:rFonts w:ascii="Arial" w:hAnsi="Arial" w:cs="Arial"/>
              </w:rPr>
            </w:pPr>
            <w:r>
              <w:rPr>
                <w:rFonts w:ascii="Arial" w:hAnsi="Arial" w:cs="Arial"/>
              </w:rPr>
              <w:t>9</w:t>
            </w:r>
            <w:r w:rsidR="00622E7F" w:rsidRPr="00517843">
              <w:rPr>
                <w:rFonts w:ascii="Arial" w:hAnsi="Arial" w:cs="Arial"/>
              </w:rPr>
              <w:t>4.37%</w:t>
            </w:r>
          </w:p>
        </w:tc>
        <w:tc>
          <w:tcPr>
            <w:tcW w:w="170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93.41%</w:t>
            </w:r>
          </w:p>
        </w:tc>
        <w:tc>
          <w:tcPr>
            <w:tcW w:w="1125" w:type="dxa"/>
            <w:tcBorders>
              <w:top w:val="single" w:sz="4" w:space="0" w:color="auto"/>
              <w:left w:val="single" w:sz="4" w:space="0" w:color="auto"/>
              <w:bottom w:val="single" w:sz="4" w:space="0" w:color="auto"/>
              <w:right w:val="single" w:sz="4" w:space="0" w:color="auto"/>
            </w:tcBorders>
          </w:tcPr>
          <w:p w:rsidR="00622E7F" w:rsidRPr="00517843" w:rsidRDefault="00622E7F" w:rsidP="00E34EF7">
            <w:pPr>
              <w:pStyle w:val="NoSpacing"/>
              <w:rPr>
                <w:rFonts w:ascii="Arial" w:hAnsi="Arial" w:cs="Arial"/>
              </w:rPr>
            </w:pPr>
            <w:r w:rsidRPr="00517843">
              <w:rPr>
                <w:rFonts w:ascii="Arial" w:hAnsi="Arial" w:cs="Arial"/>
              </w:rPr>
              <w:t>90%</w:t>
            </w:r>
          </w:p>
        </w:tc>
      </w:tr>
      <w:tr w:rsidR="00517843" w:rsidRPr="00BD4E0A" w:rsidTr="00E34EF7">
        <w:trPr>
          <w:trHeight w:val="474"/>
          <w:jc w:val="center"/>
        </w:trPr>
        <w:tc>
          <w:tcPr>
            <w:tcW w:w="2549" w:type="dxa"/>
            <w:tcBorders>
              <w:top w:val="single" w:sz="4" w:space="0" w:color="auto"/>
              <w:left w:val="single" w:sz="4" w:space="0" w:color="auto"/>
              <w:bottom w:val="single" w:sz="4" w:space="0" w:color="auto"/>
              <w:right w:val="single" w:sz="4" w:space="0" w:color="auto"/>
            </w:tcBorders>
            <w:hideMark/>
          </w:tcPr>
          <w:p w:rsidR="00622E7F" w:rsidRPr="00517843" w:rsidRDefault="00F51064" w:rsidP="00E34EF7">
            <w:pPr>
              <w:pStyle w:val="NoSpacing"/>
              <w:rPr>
                <w:rFonts w:ascii="Arial" w:hAnsi="Arial" w:cs="Arial"/>
              </w:rPr>
            </w:pPr>
            <w:r>
              <w:rPr>
                <w:rFonts w:ascii="Arial" w:hAnsi="Arial" w:cs="Arial"/>
              </w:rPr>
              <w:t>Safety carriageway d</w:t>
            </w:r>
            <w:r w:rsidR="00622E7F" w:rsidRPr="00517843">
              <w:rPr>
                <w:rFonts w:ascii="Arial" w:hAnsi="Arial" w:cs="Arial"/>
              </w:rPr>
              <w:t>efects repaired within 20 working days (non-urgent)</w:t>
            </w:r>
          </w:p>
        </w:tc>
        <w:tc>
          <w:tcPr>
            <w:tcW w:w="1418"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High</w:t>
            </w:r>
          </w:p>
        </w:tc>
        <w:tc>
          <w:tcPr>
            <w:tcW w:w="17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96.05%</w:t>
            </w:r>
          </w:p>
          <w:p w:rsidR="00622E7F" w:rsidRPr="00517843" w:rsidRDefault="00622E7F" w:rsidP="00315598">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98.19%</w:t>
            </w:r>
          </w:p>
        </w:tc>
        <w:tc>
          <w:tcPr>
            <w:tcW w:w="141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99.23%</w:t>
            </w:r>
          </w:p>
        </w:tc>
        <w:tc>
          <w:tcPr>
            <w:tcW w:w="170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94.94%</w:t>
            </w:r>
          </w:p>
        </w:tc>
        <w:tc>
          <w:tcPr>
            <w:tcW w:w="1125" w:type="dxa"/>
            <w:tcBorders>
              <w:top w:val="single" w:sz="4" w:space="0" w:color="auto"/>
              <w:left w:val="single" w:sz="4" w:space="0" w:color="auto"/>
              <w:bottom w:val="single" w:sz="4" w:space="0" w:color="auto"/>
              <w:right w:val="single" w:sz="4" w:space="0" w:color="auto"/>
            </w:tcBorders>
          </w:tcPr>
          <w:p w:rsidR="00622E7F" w:rsidRPr="00517843" w:rsidRDefault="00622E7F" w:rsidP="00E34EF7">
            <w:pPr>
              <w:pStyle w:val="NoSpacing"/>
              <w:rPr>
                <w:rFonts w:ascii="Arial" w:hAnsi="Arial" w:cs="Arial"/>
              </w:rPr>
            </w:pPr>
            <w:r w:rsidRPr="00517843">
              <w:rPr>
                <w:rFonts w:ascii="Arial" w:hAnsi="Arial" w:cs="Arial"/>
              </w:rPr>
              <w:t>90%</w:t>
            </w:r>
          </w:p>
        </w:tc>
      </w:tr>
      <w:tr w:rsidR="0001784B" w:rsidRPr="00BD4E0A" w:rsidTr="00E34EF7">
        <w:trPr>
          <w:trHeight w:val="474"/>
          <w:jc w:val="center"/>
        </w:trPr>
        <w:tc>
          <w:tcPr>
            <w:tcW w:w="2549" w:type="dxa"/>
            <w:tcBorders>
              <w:top w:val="single" w:sz="4" w:space="0" w:color="auto"/>
              <w:left w:val="single" w:sz="4" w:space="0" w:color="auto"/>
              <w:bottom w:val="single" w:sz="4" w:space="0" w:color="auto"/>
              <w:right w:val="single" w:sz="4" w:space="0" w:color="auto"/>
            </w:tcBorders>
            <w:hideMark/>
          </w:tcPr>
          <w:p w:rsidR="00622E7F" w:rsidRPr="00517843" w:rsidRDefault="00622E7F" w:rsidP="00E34EF7">
            <w:pPr>
              <w:pStyle w:val="NoSpacing"/>
              <w:rPr>
                <w:rFonts w:ascii="Arial" w:hAnsi="Arial" w:cs="Arial"/>
              </w:rPr>
            </w:pPr>
            <w:r w:rsidRPr="00517843">
              <w:rPr>
                <w:rFonts w:ascii="Arial" w:hAnsi="Arial" w:cs="Arial"/>
              </w:rPr>
              <w:t>Average number of working days to repair a LCC street lighting fault (including traffic management) target 5 days</w:t>
            </w:r>
          </w:p>
        </w:tc>
        <w:tc>
          <w:tcPr>
            <w:tcW w:w="1418"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rPr>
            </w:pPr>
            <w:r w:rsidRPr="00517843">
              <w:rPr>
                <w:rFonts w:ascii="Arial" w:hAnsi="Arial" w:cs="Arial"/>
              </w:rPr>
              <w:t>Quarterly</w:t>
            </w:r>
          </w:p>
        </w:tc>
        <w:tc>
          <w:tcPr>
            <w:tcW w:w="169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Growth, Environment &amp; Transport</w:t>
            </w:r>
          </w:p>
        </w:tc>
        <w:tc>
          <w:tcPr>
            <w:tcW w:w="85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p>
          <w:p w:rsidR="00622E7F" w:rsidRPr="00517843" w:rsidRDefault="00622E7F" w:rsidP="00622E7F">
            <w:pPr>
              <w:pStyle w:val="NoSpacing"/>
              <w:rPr>
                <w:rFonts w:ascii="Arial" w:hAnsi="Arial" w:cs="Arial"/>
              </w:rPr>
            </w:pPr>
            <w:r w:rsidRPr="00517843">
              <w:rPr>
                <w:rFonts w:ascii="Arial" w:hAnsi="Arial" w:cs="Arial"/>
              </w:rPr>
              <w:t>Low</w:t>
            </w:r>
          </w:p>
        </w:tc>
        <w:tc>
          <w:tcPr>
            <w:tcW w:w="1712" w:type="dxa"/>
            <w:tcBorders>
              <w:top w:val="single" w:sz="4" w:space="0" w:color="auto"/>
              <w:left w:val="single" w:sz="4" w:space="0" w:color="auto"/>
              <w:bottom w:val="single" w:sz="4" w:space="0" w:color="auto"/>
              <w:right w:val="single" w:sz="4" w:space="0" w:color="auto"/>
            </w:tcBorders>
            <w:shd w:val="clear" w:color="auto" w:fill="FF0000"/>
          </w:tcPr>
          <w:p w:rsidR="00622E7F" w:rsidRPr="00BD4E0A" w:rsidRDefault="00622E7F" w:rsidP="00315598">
            <w:pPr>
              <w:pStyle w:val="NoSpacing"/>
              <w:rPr>
                <w:rFonts w:ascii="Arial" w:hAnsi="Arial" w:cs="Arial"/>
                <w:color w:val="0070C0"/>
              </w:rPr>
            </w:pPr>
            <w:r w:rsidRPr="00517843">
              <w:rPr>
                <w:rFonts w:ascii="Arial" w:hAnsi="Arial" w:cs="Arial"/>
                <w:color w:val="FFFFFF" w:themeColor="background1"/>
              </w:rPr>
              <w:t>6.34 days</w:t>
            </w:r>
          </w:p>
        </w:tc>
        <w:tc>
          <w:tcPr>
            <w:tcW w:w="141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4.88 days</w:t>
            </w:r>
          </w:p>
        </w:tc>
        <w:tc>
          <w:tcPr>
            <w:tcW w:w="141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622E7F" w:rsidRPr="00517843" w:rsidRDefault="00622E7F" w:rsidP="00315598">
            <w:pPr>
              <w:pStyle w:val="NoSpacing"/>
              <w:rPr>
                <w:rFonts w:ascii="Arial" w:hAnsi="Arial" w:cs="Arial"/>
              </w:rPr>
            </w:pPr>
            <w:r w:rsidRPr="00517843">
              <w:rPr>
                <w:rFonts w:ascii="Arial" w:hAnsi="Arial" w:cs="Arial"/>
              </w:rPr>
              <w:t>5 days</w:t>
            </w:r>
          </w:p>
        </w:tc>
        <w:tc>
          <w:tcPr>
            <w:tcW w:w="1702" w:type="dxa"/>
            <w:tcBorders>
              <w:top w:val="single" w:sz="4" w:space="0" w:color="auto"/>
              <w:left w:val="single" w:sz="4" w:space="0" w:color="auto"/>
              <w:bottom w:val="single" w:sz="4" w:space="0" w:color="auto"/>
              <w:right w:val="single" w:sz="4" w:space="0" w:color="auto"/>
            </w:tcBorders>
            <w:shd w:val="clear" w:color="auto" w:fill="FF0000"/>
          </w:tcPr>
          <w:p w:rsidR="00622E7F" w:rsidRPr="00BD4E0A" w:rsidRDefault="00622E7F" w:rsidP="00315598">
            <w:pPr>
              <w:pStyle w:val="NoSpacing"/>
              <w:rPr>
                <w:rFonts w:ascii="Arial" w:hAnsi="Arial" w:cs="Arial"/>
                <w:color w:val="0070C0"/>
              </w:rPr>
            </w:pPr>
            <w:r w:rsidRPr="00517843">
              <w:rPr>
                <w:rFonts w:ascii="Arial" w:hAnsi="Arial" w:cs="Arial"/>
                <w:color w:val="FFFFFF" w:themeColor="background1"/>
              </w:rPr>
              <w:t>7.19 days</w:t>
            </w:r>
          </w:p>
        </w:tc>
        <w:tc>
          <w:tcPr>
            <w:tcW w:w="1125" w:type="dxa"/>
            <w:tcBorders>
              <w:top w:val="single" w:sz="4" w:space="0" w:color="auto"/>
              <w:left w:val="single" w:sz="4" w:space="0" w:color="auto"/>
              <w:bottom w:val="single" w:sz="4" w:space="0" w:color="auto"/>
              <w:right w:val="single" w:sz="4" w:space="0" w:color="auto"/>
            </w:tcBorders>
          </w:tcPr>
          <w:p w:rsidR="00622E7F" w:rsidRPr="00BD4E0A" w:rsidRDefault="00622E7F" w:rsidP="00E34EF7">
            <w:pPr>
              <w:pStyle w:val="NoSpacing"/>
              <w:rPr>
                <w:rFonts w:ascii="Arial" w:hAnsi="Arial" w:cs="Arial"/>
                <w:color w:val="0070C0"/>
              </w:rPr>
            </w:pPr>
            <w:r w:rsidRPr="00517843">
              <w:rPr>
                <w:rFonts w:ascii="Arial" w:hAnsi="Arial" w:cs="Arial"/>
              </w:rPr>
              <w:t>5 days</w:t>
            </w:r>
          </w:p>
        </w:tc>
      </w:tr>
    </w:tbl>
    <w:p w:rsidR="009B6205" w:rsidRPr="00BD4E0A" w:rsidRDefault="009B6205" w:rsidP="00622E7F">
      <w:pPr>
        <w:pStyle w:val="NoSpacing"/>
        <w:rPr>
          <w:rFonts w:ascii="Arial" w:hAnsi="Arial" w:cs="Arial"/>
          <w:color w:val="0070C0"/>
        </w:rPr>
      </w:pPr>
    </w:p>
    <w:p w:rsidR="00AC07E2" w:rsidRPr="00AC07E2" w:rsidRDefault="003E4409" w:rsidP="009376E3">
      <w:pPr>
        <w:pStyle w:val="NoSpacing"/>
        <w:spacing w:line="252" w:lineRule="auto"/>
        <w:jc w:val="both"/>
        <w:rPr>
          <w:rFonts w:ascii="Arial" w:eastAsia="Times New Roman" w:hAnsi="Arial" w:cs="Arial"/>
        </w:rPr>
      </w:pPr>
      <w:r w:rsidRPr="003E4409">
        <w:rPr>
          <w:rFonts w:ascii="Arial" w:hAnsi="Arial" w:cs="Arial"/>
          <w:b/>
        </w:rPr>
        <w:t>Safety carriageway defects</w:t>
      </w:r>
      <w:r>
        <w:rPr>
          <w:rFonts w:ascii="Arial" w:hAnsi="Arial" w:cs="Arial"/>
        </w:rPr>
        <w:t xml:space="preserve">. </w:t>
      </w:r>
      <w:r w:rsidR="00AC07E2" w:rsidRPr="00AC07E2">
        <w:rPr>
          <w:rFonts w:ascii="Arial" w:hAnsi="Arial" w:cs="Arial"/>
        </w:rPr>
        <w:t>Whilst the overall numbers</w:t>
      </w:r>
      <w:r w:rsidR="00BE1158">
        <w:rPr>
          <w:rFonts w:ascii="Arial" w:hAnsi="Arial" w:cs="Arial"/>
        </w:rPr>
        <w:t xml:space="preserve"> of defect repairs that fail</w:t>
      </w:r>
      <w:r w:rsidR="00AC07E2" w:rsidRPr="00AC07E2">
        <w:rPr>
          <w:rFonts w:ascii="Arial" w:hAnsi="Arial" w:cs="Arial"/>
        </w:rPr>
        <w:t xml:space="preserve"> to meet the target for </w:t>
      </w:r>
      <w:r>
        <w:rPr>
          <w:rFonts w:ascii="Arial" w:hAnsi="Arial" w:cs="Arial"/>
        </w:rPr>
        <w:t>s</w:t>
      </w:r>
      <w:r w:rsidR="00AC07E2" w:rsidRPr="00145B8D">
        <w:rPr>
          <w:rFonts w:ascii="Arial" w:hAnsi="Arial" w:cs="Arial"/>
        </w:rPr>
        <w:t xml:space="preserve">afety </w:t>
      </w:r>
      <w:r>
        <w:rPr>
          <w:rFonts w:ascii="Arial" w:hAnsi="Arial" w:cs="Arial"/>
        </w:rPr>
        <w:t>c</w:t>
      </w:r>
      <w:r w:rsidR="00AC07E2" w:rsidRPr="00145B8D">
        <w:rPr>
          <w:rFonts w:ascii="Arial" w:hAnsi="Arial" w:cs="Arial"/>
        </w:rPr>
        <w:t xml:space="preserve">arriageway </w:t>
      </w:r>
      <w:r>
        <w:rPr>
          <w:rFonts w:ascii="Arial" w:hAnsi="Arial" w:cs="Arial"/>
        </w:rPr>
        <w:t>d</w:t>
      </w:r>
      <w:r w:rsidR="00AC07E2" w:rsidRPr="00145B8D">
        <w:rPr>
          <w:rFonts w:ascii="Arial" w:hAnsi="Arial" w:cs="Arial"/>
        </w:rPr>
        <w:t>efects repaired within 4 hours</w:t>
      </w:r>
      <w:r w:rsidR="00BE1158">
        <w:rPr>
          <w:rFonts w:ascii="Arial" w:hAnsi="Arial" w:cs="Arial"/>
          <w:b/>
        </w:rPr>
        <w:t xml:space="preserve"> </w:t>
      </w:r>
      <w:r w:rsidR="00BE1158" w:rsidRPr="00BE1158">
        <w:rPr>
          <w:rFonts w:ascii="Arial" w:hAnsi="Arial" w:cs="Arial"/>
        </w:rPr>
        <w:t>are small</w:t>
      </w:r>
      <w:r w:rsidR="00AC07E2" w:rsidRPr="00AC07E2">
        <w:rPr>
          <w:rFonts w:ascii="Arial" w:hAnsi="Arial" w:cs="Arial"/>
        </w:rPr>
        <w:t xml:space="preserve"> </w:t>
      </w:r>
      <w:r w:rsidR="00BE1158">
        <w:rPr>
          <w:rFonts w:ascii="Arial" w:hAnsi="Arial" w:cs="Arial"/>
        </w:rPr>
        <w:t>these all relate</w:t>
      </w:r>
      <w:r w:rsidR="00AC07E2" w:rsidRPr="00AC07E2">
        <w:rPr>
          <w:rFonts w:ascii="Arial" w:hAnsi="Arial" w:cs="Arial"/>
        </w:rPr>
        <w:t xml:space="preserve"> to those that have been reported by the public. Processes are being reviewed to ensure these reports are identified and addressed within timescales.</w:t>
      </w:r>
    </w:p>
    <w:p w:rsidR="00897C4F" w:rsidRDefault="00897C4F" w:rsidP="00622E7F">
      <w:pPr>
        <w:pStyle w:val="NoSpacing"/>
        <w:rPr>
          <w:rFonts w:ascii="Arial" w:hAnsi="Arial" w:cs="Arial"/>
        </w:rPr>
      </w:pPr>
    </w:p>
    <w:p w:rsidR="00897C4F" w:rsidRDefault="00897C4F" w:rsidP="00622E7F">
      <w:pPr>
        <w:pStyle w:val="NoSpacing"/>
        <w:rPr>
          <w:rFonts w:ascii="Arial" w:hAnsi="Arial" w:cs="Arial"/>
        </w:rPr>
      </w:pPr>
    </w:p>
    <w:p w:rsidR="00897C4F" w:rsidRDefault="00897C4F" w:rsidP="00622E7F">
      <w:pPr>
        <w:pStyle w:val="NoSpacing"/>
        <w:rPr>
          <w:rFonts w:ascii="Arial" w:hAnsi="Arial" w:cs="Arial"/>
        </w:rPr>
      </w:pPr>
    </w:p>
    <w:p w:rsidR="00622E7F" w:rsidRPr="00517843" w:rsidRDefault="003E4409" w:rsidP="00145B8D">
      <w:pPr>
        <w:pStyle w:val="NoSpacing"/>
        <w:jc w:val="both"/>
        <w:rPr>
          <w:rFonts w:ascii="Arial" w:hAnsi="Arial" w:cs="Arial"/>
        </w:rPr>
      </w:pPr>
      <w:r w:rsidRPr="003E4409">
        <w:rPr>
          <w:rFonts w:ascii="Arial" w:hAnsi="Arial" w:cs="Arial"/>
          <w:b/>
        </w:rPr>
        <w:t>Street lighting fault repair</w:t>
      </w:r>
      <w:r>
        <w:rPr>
          <w:rFonts w:ascii="Arial" w:hAnsi="Arial" w:cs="Arial"/>
        </w:rPr>
        <w:t xml:space="preserve">. </w:t>
      </w:r>
      <w:r w:rsidR="00622E7F" w:rsidRPr="00517843">
        <w:rPr>
          <w:rFonts w:ascii="Arial" w:hAnsi="Arial" w:cs="Arial"/>
        </w:rPr>
        <w:t xml:space="preserve">Traditionally </w:t>
      </w:r>
      <w:r>
        <w:rPr>
          <w:rFonts w:ascii="Arial" w:hAnsi="Arial" w:cs="Arial"/>
        </w:rPr>
        <w:t>street l</w:t>
      </w:r>
      <w:r w:rsidR="00622E7F" w:rsidRPr="00145B8D">
        <w:rPr>
          <w:rFonts w:ascii="Arial" w:hAnsi="Arial" w:cs="Arial"/>
        </w:rPr>
        <w:t>ighting fault repair performance is</w:t>
      </w:r>
      <w:r w:rsidR="00622E7F" w:rsidRPr="00517843">
        <w:rPr>
          <w:rFonts w:ascii="Arial" w:hAnsi="Arial" w:cs="Arial"/>
        </w:rPr>
        <w:t xml:space="preserve"> seasonal and is directly related to </w:t>
      </w:r>
      <w:r w:rsidR="009376E3">
        <w:rPr>
          <w:rFonts w:ascii="Arial" w:hAnsi="Arial" w:cs="Arial"/>
        </w:rPr>
        <w:t>longer hours of darkness and inclement weather generating an increase in the volume of faults reported.</w:t>
      </w:r>
      <w:r w:rsidR="00622E7F" w:rsidRPr="00517843">
        <w:rPr>
          <w:rFonts w:ascii="Arial" w:hAnsi="Arial" w:cs="Arial"/>
        </w:rPr>
        <w:t xml:space="preserve"> </w:t>
      </w:r>
      <w:r w:rsidR="009376E3">
        <w:rPr>
          <w:rFonts w:ascii="Arial" w:hAnsi="Arial" w:cs="Arial"/>
        </w:rPr>
        <w:t xml:space="preserve">Comparing quarter 3 performance in 2019-20 (7.19 days) with the same quarter in 2018-19 (7.00 days) shows a slight worsening of performance (0.19 days). </w:t>
      </w:r>
      <w:r w:rsidR="00622E7F" w:rsidRPr="00517843">
        <w:rPr>
          <w:rFonts w:ascii="Arial" w:hAnsi="Arial" w:cs="Arial"/>
        </w:rPr>
        <w:t xml:space="preserve">Street lighting crews are involved in the winter standby arrangements so their availability during the daytime </w:t>
      </w:r>
      <w:r w:rsidR="00145B8D">
        <w:rPr>
          <w:rFonts w:ascii="Arial" w:hAnsi="Arial" w:cs="Arial"/>
        </w:rPr>
        <w:t>can</w:t>
      </w:r>
      <w:r w:rsidR="00622E7F" w:rsidRPr="00517843">
        <w:rPr>
          <w:rFonts w:ascii="Arial" w:hAnsi="Arial" w:cs="Arial"/>
        </w:rPr>
        <w:t xml:space="preserve"> be limited. </w:t>
      </w:r>
    </w:p>
    <w:p w:rsidR="00622E7F" w:rsidRPr="00517843" w:rsidRDefault="00622E7F" w:rsidP="00622E7F">
      <w:pPr>
        <w:pStyle w:val="NoSpacing"/>
        <w:rPr>
          <w:rFonts w:ascii="Arial" w:hAnsi="Arial" w:cs="Arial"/>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422"/>
        <w:gridCol w:w="1564"/>
        <w:gridCol w:w="826"/>
        <w:gridCol w:w="1134"/>
        <w:gridCol w:w="1417"/>
        <w:gridCol w:w="1418"/>
        <w:gridCol w:w="1701"/>
        <w:gridCol w:w="1134"/>
      </w:tblGrid>
      <w:tr w:rsidR="00622E7F" w:rsidRPr="00517843" w:rsidTr="00EC2CD4">
        <w:trPr>
          <w:trHeight w:val="359"/>
        </w:trPr>
        <w:tc>
          <w:tcPr>
            <w:tcW w:w="3276"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Performance Indicator</w:t>
            </w:r>
          </w:p>
        </w:tc>
        <w:tc>
          <w:tcPr>
            <w:tcW w:w="1422"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Frequency</w:t>
            </w:r>
          </w:p>
        </w:tc>
        <w:tc>
          <w:tcPr>
            <w:tcW w:w="1564"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 xml:space="preserve">Directorate </w:t>
            </w:r>
          </w:p>
        </w:tc>
        <w:tc>
          <w:tcPr>
            <w:tcW w:w="826"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Q4 2018-19</w:t>
            </w:r>
          </w:p>
        </w:tc>
        <w:tc>
          <w:tcPr>
            <w:tcW w:w="1417"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Q1</w:t>
            </w:r>
          </w:p>
          <w:p w:rsidR="00622E7F" w:rsidRPr="00517843" w:rsidRDefault="00622E7F" w:rsidP="00622E7F">
            <w:pPr>
              <w:pStyle w:val="NoSpacing"/>
              <w:rPr>
                <w:rFonts w:ascii="Arial" w:hAnsi="Arial" w:cs="Arial"/>
                <w:b/>
              </w:rPr>
            </w:pPr>
            <w:r w:rsidRPr="00517843">
              <w:rPr>
                <w:rFonts w:ascii="Arial" w:hAnsi="Arial" w:cs="Arial"/>
                <w:b/>
              </w:rPr>
              <w:t>(April-June)</w:t>
            </w:r>
          </w:p>
        </w:tc>
        <w:tc>
          <w:tcPr>
            <w:tcW w:w="1418"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Q2</w:t>
            </w:r>
          </w:p>
          <w:p w:rsidR="00622E7F" w:rsidRPr="00517843" w:rsidRDefault="00622E7F" w:rsidP="00622E7F">
            <w:pPr>
              <w:pStyle w:val="NoSpacing"/>
              <w:rPr>
                <w:rFonts w:ascii="Arial" w:hAnsi="Arial" w:cs="Arial"/>
                <w:b/>
              </w:rPr>
            </w:pPr>
            <w:r w:rsidRPr="00517843">
              <w:rPr>
                <w:rFonts w:ascii="Arial" w:hAnsi="Arial" w:cs="Arial"/>
                <w:b/>
              </w:rPr>
              <w:t>(July- Sep)</w:t>
            </w:r>
          </w:p>
        </w:tc>
        <w:tc>
          <w:tcPr>
            <w:tcW w:w="1701"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Current (Q3) Performance</w:t>
            </w:r>
          </w:p>
        </w:tc>
        <w:tc>
          <w:tcPr>
            <w:tcW w:w="1134" w:type="dxa"/>
            <w:tcBorders>
              <w:top w:val="single" w:sz="4" w:space="0" w:color="auto"/>
              <w:left w:val="single" w:sz="4" w:space="0" w:color="auto"/>
              <w:bottom w:val="single" w:sz="4" w:space="0" w:color="auto"/>
              <w:right w:val="single" w:sz="4" w:space="0" w:color="auto"/>
            </w:tcBorders>
          </w:tcPr>
          <w:p w:rsidR="00622E7F" w:rsidRPr="00517843" w:rsidRDefault="00622E7F" w:rsidP="00E34EF7">
            <w:pPr>
              <w:pStyle w:val="NoSpacing"/>
              <w:rPr>
                <w:rFonts w:ascii="Arial" w:hAnsi="Arial" w:cs="Arial"/>
                <w:b/>
              </w:rPr>
            </w:pPr>
            <w:r w:rsidRPr="00517843">
              <w:rPr>
                <w:rFonts w:ascii="Arial" w:hAnsi="Arial" w:cs="Arial"/>
                <w:b/>
              </w:rPr>
              <w:t>2020/21 Target</w:t>
            </w:r>
          </w:p>
        </w:tc>
      </w:tr>
      <w:tr w:rsidR="00622E7F" w:rsidRPr="00517843" w:rsidTr="00EC2CD4">
        <w:tc>
          <w:tcPr>
            <w:tcW w:w="3276" w:type="dxa"/>
            <w:tcBorders>
              <w:top w:val="single" w:sz="4" w:space="0" w:color="auto"/>
              <w:left w:val="single" w:sz="4" w:space="0" w:color="auto"/>
              <w:bottom w:val="single" w:sz="4" w:space="0" w:color="auto"/>
              <w:right w:val="single" w:sz="4" w:space="0" w:color="auto"/>
            </w:tcBorders>
            <w:hideMark/>
          </w:tcPr>
          <w:p w:rsidR="00622E7F" w:rsidRPr="00517843" w:rsidRDefault="00622E7F" w:rsidP="00E34EF7">
            <w:pPr>
              <w:pStyle w:val="NoSpacing"/>
              <w:jc w:val="both"/>
              <w:rPr>
                <w:rFonts w:ascii="Arial" w:hAnsi="Arial" w:cs="Arial"/>
              </w:rPr>
            </w:pPr>
            <w:r w:rsidRPr="00517843">
              <w:rPr>
                <w:rFonts w:ascii="Arial" w:hAnsi="Arial" w:cs="Arial"/>
              </w:rPr>
              <w:t>Percentage of recycling, reuse and composting of</w:t>
            </w:r>
          </w:p>
        </w:tc>
        <w:tc>
          <w:tcPr>
            <w:tcW w:w="1422"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rPr>
            </w:pPr>
          </w:p>
          <w:p w:rsidR="00622E7F" w:rsidRPr="00517843" w:rsidRDefault="00622E7F" w:rsidP="00622E7F">
            <w:pPr>
              <w:pStyle w:val="NoSpacing"/>
              <w:rPr>
                <w:rFonts w:ascii="Arial" w:hAnsi="Arial" w:cs="Arial"/>
                <w:i/>
              </w:rPr>
            </w:pPr>
            <w:r w:rsidRPr="00517843">
              <w:rPr>
                <w:rFonts w:ascii="Arial" w:hAnsi="Arial" w:cs="Arial"/>
              </w:rPr>
              <w:t>Quarterly</w:t>
            </w:r>
          </w:p>
        </w:tc>
        <w:tc>
          <w:tcPr>
            <w:tcW w:w="1564"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Growth, Environment &amp; Transport</w:t>
            </w:r>
          </w:p>
        </w:tc>
        <w:tc>
          <w:tcPr>
            <w:tcW w:w="826"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p>
          <w:p w:rsidR="00622E7F" w:rsidRPr="00517843" w:rsidRDefault="00622E7F" w:rsidP="00622E7F">
            <w:pPr>
              <w:pStyle w:val="NoSpacing"/>
              <w:rPr>
                <w:rFonts w:ascii="Arial" w:hAnsi="Arial" w:cs="Arial"/>
              </w:rPr>
            </w:pPr>
            <w:r w:rsidRPr="00517843">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22E7F" w:rsidRPr="00517843" w:rsidRDefault="00622E7F" w:rsidP="00315598">
            <w:pPr>
              <w:pStyle w:val="NoSpacing"/>
              <w:rPr>
                <w:rFonts w:ascii="Arial" w:hAnsi="Arial" w:cs="Arial"/>
              </w:rPr>
            </w:pPr>
          </w:p>
          <w:p w:rsidR="00622E7F" w:rsidRPr="00517843" w:rsidRDefault="00622E7F" w:rsidP="00315598">
            <w:pPr>
              <w:pStyle w:val="NoSpacing"/>
              <w:rPr>
                <w:rFonts w:ascii="Arial" w:hAnsi="Arial" w:cs="Arial"/>
              </w:rPr>
            </w:pPr>
            <w:r w:rsidRPr="00517843">
              <w:rPr>
                <w:rFonts w:ascii="Arial" w:hAnsi="Arial" w:cs="Arial"/>
              </w:rPr>
              <w:t>43%</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22E7F" w:rsidRPr="00517843" w:rsidRDefault="00622E7F" w:rsidP="00315598">
            <w:pPr>
              <w:pStyle w:val="NoSpacing"/>
              <w:rPr>
                <w:rFonts w:ascii="Arial" w:hAnsi="Arial" w:cs="Arial"/>
              </w:rPr>
            </w:pPr>
          </w:p>
          <w:p w:rsidR="00622E7F" w:rsidRPr="00517843" w:rsidRDefault="00622E7F" w:rsidP="00315598">
            <w:pPr>
              <w:pStyle w:val="NoSpacing"/>
              <w:rPr>
                <w:rFonts w:ascii="Arial" w:hAnsi="Arial" w:cs="Arial"/>
              </w:rPr>
            </w:pPr>
            <w:r w:rsidRPr="00517843">
              <w:rPr>
                <w:rFonts w:ascii="Arial" w:hAnsi="Arial" w:cs="Arial"/>
              </w:rPr>
              <w:t>43%</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22E7F" w:rsidRPr="00517843" w:rsidRDefault="00622E7F" w:rsidP="00315598">
            <w:pPr>
              <w:pStyle w:val="NoSpacing"/>
              <w:rPr>
                <w:rFonts w:ascii="Arial" w:hAnsi="Arial" w:cs="Arial"/>
              </w:rPr>
            </w:pPr>
          </w:p>
          <w:p w:rsidR="00622E7F" w:rsidRPr="00517843" w:rsidRDefault="00622E7F" w:rsidP="00315598">
            <w:pPr>
              <w:pStyle w:val="NoSpacing"/>
              <w:rPr>
                <w:rFonts w:ascii="Arial" w:hAnsi="Arial" w:cs="Arial"/>
              </w:rPr>
            </w:pPr>
            <w:r w:rsidRPr="00517843">
              <w:rPr>
                <w:rFonts w:ascii="Arial" w:hAnsi="Arial" w:cs="Arial"/>
              </w:rPr>
              <w:t>45%</w:t>
            </w:r>
          </w:p>
          <w:p w:rsidR="00622E7F" w:rsidRPr="00517843" w:rsidRDefault="00622E7F" w:rsidP="00315598">
            <w:pPr>
              <w:pStyle w:val="No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22E7F" w:rsidRPr="00517843" w:rsidRDefault="00622E7F" w:rsidP="00315598">
            <w:pPr>
              <w:pStyle w:val="NoSpacing"/>
              <w:rPr>
                <w:rFonts w:ascii="Arial" w:hAnsi="Arial" w:cs="Arial"/>
              </w:rPr>
            </w:pPr>
          </w:p>
          <w:p w:rsidR="00622E7F" w:rsidRPr="00517843" w:rsidRDefault="00622E7F" w:rsidP="00315598">
            <w:pPr>
              <w:pStyle w:val="NoSpacing"/>
              <w:rPr>
                <w:rFonts w:ascii="Arial" w:hAnsi="Arial" w:cs="Arial"/>
              </w:rPr>
            </w:pPr>
            <w:r w:rsidRPr="00517843">
              <w:rPr>
                <w:rFonts w:ascii="Arial" w:hAnsi="Arial" w:cs="Arial"/>
              </w:rPr>
              <w:t>44%</w:t>
            </w:r>
          </w:p>
        </w:tc>
        <w:tc>
          <w:tcPr>
            <w:tcW w:w="1134" w:type="dxa"/>
            <w:tcBorders>
              <w:top w:val="single" w:sz="4" w:space="0" w:color="auto"/>
              <w:left w:val="single" w:sz="4" w:space="0" w:color="auto"/>
              <w:bottom w:val="single" w:sz="4" w:space="0" w:color="auto"/>
              <w:right w:val="single" w:sz="4" w:space="0" w:color="auto"/>
            </w:tcBorders>
          </w:tcPr>
          <w:p w:rsidR="00622E7F" w:rsidRPr="00517843" w:rsidRDefault="00622E7F" w:rsidP="00E34EF7">
            <w:pPr>
              <w:pStyle w:val="NoSpacing"/>
              <w:rPr>
                <w:rFonts w:ascii="Arial" w:hAnsi="Arial" w:cs="Arial"/>
              </w:rPr>
            </w:pPr>
            <w:r w:rsidRPr="00517843">
              <w:rPr>
                <w:rFonts w:ascii="Arial" w:hAnsi="Arial" w:cs="Arial"/>
              </w:rPr>
              <w:t>50% (current national target)</w:t>
            </w:r>
          </w:p>
        </w:tc>
      </w:tr>
    </w:tbl>
    <w:p w:rsidR="00622E7F" w:rsidRPr="00517843" w:rsidRDefault="00622E7F" w:rsidP="00622E7F">
      <w:pPr>
        <w:pStyle w:val="NoSpacing"/>
        <w:rPr>
          <w:rFonts w:ascii="Arial" w:hAnsi="Arial" w:cs="Arial"/>
        </w:rPr>
      </w:pPr>
    </w:p>
    <w:p w:rsidR="00622E7F" w:rsidRPr="00517843" w:rsidRDefault="00C558E7" w:rsidP="00145B8D">
      <w:pPr>
        <w:pStyle w:val="NoSpacing"/>
        <w:jc w:val="both"/>
        <w:rPr>
          <w:rFonts w:ascii="Arial" w:hAnsi="Arial" w:cs="Arial"/>
        </w:rPr>
      </w:pPr>
      <w:r w:rsidRPr="00C558E7">
        <w:rPr>
          <w:rFonts w:ascii="Arial" w:hAnsi="Arial" w:cs="Arial"/>
          <w:b/>
        </w:rPr>
        <w:t>Recycling.</w:t>
      </w:r>
      <w:r>
        <w:rPr>
          <w:rFonts w:ascii="Arial" w:hAnsi="Arial" w:cs="Arial"/>
        </w:rPr>
        <w:t xml:space="preserve"> </w:t>
      </w:r>
      <w:r w:rsidR="00E52877">
        <w:rPr>
          <w:rFonts w:ascii="Arial" w:hAnsi="Arial" w:cs="Arial"/>
        </w:rPr>
        <w:t>S</w:t>
      </w:r>
      <w:r w:rsidR="00622E7F" w:rsidRPr="00517843">
        <w:rPr>
          <w:rFonts w:ascii="Arial" w:hAnsi="Arial" w:cs="Arial"/>
        </w:rPr>
        <w:t xml:space="preserve">imilar recycling tonnes </w:t>
      </w:r>
      <w:r w:rsidR="00E52877">
        <w:rPr>
          <w:rFonts w:ascii="Arial" w:hAnsi="Arial" w:cs="Arial"/>
        </w:rPr>
        <w:t xml:space="preserve">are being reported </w:t>
      </w:r>
      <w:r w:rsidR="00622E7F" w:rsidRPr="00517843">
        <w:rPr>
          <w:rFonts w:ascii="Arial" w:hAnsi="Arial" w:cs="Arial"/>
        </w:rPr>
        <w:t xml:space="preserve">compared to </w:t>
      </w:r>
      <w:r w:rsidR="00E52877">
        <w:rPr>
          <w:rFonts w:ascii="Arial" w:hAnsi="Arial" w:cs="Arial"/>
        </w:rPr>
        <w:t xml:space="preserve">the </w:t>
      </w:r>
      <w:r w:rsidR="00622E7F" w:rsidRPr="00517843">
        <w:rPr>
          <w:rFonts w:ascii="Arial" w:hAnsi="Arial" w:cs="Arial"/>
        </w:rPr>
        <w:t>previous forecast</w:t>
      </w:r>
      <w:r w:rsidR="00E52877">
        <w:rPr>
          <w:rFonts w:ascii="Arial" w:hAnsi="Arial" w:cs="Arial"/>
        </w:rPr>
        <w:t>. D</w:t>
      </w:r>
      <w:r w:rsidR="00622E7F" w:rsidRPr="00517843">
        <w:rPr>
          <w:rFonts w:ascii="Arial" w:hAnsi="Arial" w:cs="Arial"/>
        </w:rPr>
        <w:t>oorstep collected green waste is up 6% (Apr</w:t>
      </w:r>
      <w:r w:rsidR="00F51064">
        <w:rPr>
          <w:rFonts w:ascii="Arial" w:hAnsi="Arial" w:cs="Arial"/>
        </w:rPr>
        <w:t>il to</w:t>
      </w:r>
      <w:r w:rsidR="00622E7F" w:rsidRPr="00517843">
        <w:rPr>
          <w:rFonts w:ascii="Arial" w:hAnsi="Arial" w:cs="Arial"/>
        </w:rPr>
        <w:t xml:space="preserve"> Nov</w:t>
      </w:r>
      <w:r w:rsidR="00F51064">
        <w:rPr>
          <w:rFonts w:ascii="Arial" w:hAnsi="Arial" w:cs="Arial"/>
        </w:rPr>
        <w:t>ember 20</w:t>
      </w:r>
      <w:r w:rsidR="00622E7F" w:rsidRPr="00517843">
        <w:rPr>
          <w:rFonts w:ascii="Arial" w:hAnsi="Arial" w:cs="Arial"/>
        </w:rPr>
        <w:t>19) compared to the same period in 2018/19, doorstep collected glass, can and plastics have seen a small increase which may</w:t>
      </w:r>
      <w:r w:rsidR="00E52877">
        <w:rPr>
          <w:rFonts w:ascii="Arial" w:hAnsi="Arial" w:cs="Arial"/>
        </w:rPr>
        <w:t xml:space="preserve"> </w:t>
      </w:r>
      <w:r w:rsidR="00622E7F" w:rsidRPr="00517843">
        <w:rPr>
          <w:rFonts w:ascii="Arial" w:hAnsi="Arial" w:cs="Arial"/>
        </w:rPr>
        <w:t>be a direct result of residents recycling pots</w:t>
      </w:r>
      <w:r w:rsidR="00E52877">
        <w:rPr>
          <w:rFonts w:ascii="Arial" w:hAnsi="Arial" w:cs="Arial"/>
        </w:rPr>
        <w:t>,</w:t>
      </w:r>
      <w:r w:rsidR="00622E7F" w:rsidRPr="00517843">
        <w:rPr>
          <w:rFonts w:ascii="Arial" w:hAnsi="Arial" w:cs="Arial"/>
        </w:rPr>
        <w:t xml:space="preserve"> tubs and trays in amongst their recycling since the introduction in October. </w:t>
      </w:r>
      <w:r w:rsidR="00E52877">
        <w:rPr>
          <w:rFonts w:ascii="Arial" w:hAnsi="Arial" w:cs="Arial"/>
        </w:rPr>
        <w:t>I</w:t>
      </w:r>
      <w:r w:rsidR="00622E7F" w:rsidRPr="00517843">
        <w:rPr>
          <w:rFonts w:ascii="Arial" w:hAnsi="Arial" w:cs="Arial"/>
        </w:rPr>
        <w:t>ncreases at the recycling centres</w:t>
      </w:r>
      <w:r w:rsidR="00E52877">
        <w:rPr>
          <w:rFonts w:ascii="Arial" w:hAnsi="Arial" w:cs="Arial"/>
        </w:rPr>
        <w:t xml:space="preserve"> continue to be experienced</w:t>
      </w:r>
      <w:r w:rsidR="00622E7F" w:rsidRPr="00517843">
        <w:rPr>
          <w:rFonts w:ascii="Arial" w:hAnsi="Arial" w:cs="Arial"/>
        </w:rPr>
        <w:t xml:space="preserve">, green waste is up on last year </w:t>
      </w:r>
      <w:r w:rsidR="00E52877">
        <w:rPr>
          <w:rFonts w:ascii="Arial" w:hAnsi="Arial" w:cs="Arial"/>
        </w:rPr>
        <w:t xml:space="preserve">and is mirroring the trend </w:t>
      </w:r>
      <w:r w:rsidR="00622E7F" w:rsidRPr="00517843">
        <w:rPr>
          <w:rFonts w:ascii="Arial" w:hAnsi="Arial" w:cs="Arial"/>
        </w:rPr>
        <w:t>with doorstep collections.</w:t>
      </w:r>
    </w:p>
    <w:p w:rsidR="00622E7F" w:rsidRPr="00517843" w:rsidRDefault="00622E7F" w:rsidP="00145B8D">
      <w:pPr>
        <w:pStyle w:val="NoSpacing"/>
        <w:jc w:val="both"/>
        <w:rPr>
          <w:rFonts w:ascii="Arial" w:hAnsi="Arial" w:cs="Arial"/>
        </w:rPr>
      </w:pPr>
    </w:p>
    <w:p w:rsidR="00622E7F" w:rsidRPr="00517843" w:rsidRDefault="00622E7F" w:rsidP="00145B8D">
      <w:pPr>
        <w:pStyle w:val="NoSpacing"/>
        <w:jc w:val="both"/>
        <w:rPr>
          <w:rFonts w:ascii="Arial" w:hAnsi="Arial" w:cs="Arial"/>
        </w:rPr>
      </w:pPr>
      <w:r w:rsidRPr="00517843">
        <w:rPr>
          <w:rFonts w:ascii="Arial" w:hAnsi="Arial" w:cs="Arial"/>
        </w:rPr>
        <w:t xml:space="preserve">In terms of the processing of residual waste at Thornton and </w:t>
      </w:r>
      <w:proofErr w:type="spellStart"/>
      <w:r w:rsidRPr="00517843">
        <w:rPr>
          <w:rFonts w:ascii="Arial" w:hAnsi="Arial" w:cs="Arial"/>
        </w:rPr>
        <w:t>Farington</w:t>
      </w:r>
      <w:proofErr w:type="spellEnd"/>
      <w:r w:rsidRPr="00517843">
        <w:rPr>
          <w:rFonts w:ascii="Arial" w:hAnsi="Arial" w:cs="Arial"/>
        </w:rPr>
        <w:t xml:space="preserve"> sites, both plants continue to be successful in mass loss and landfill diversion. Operational changes carried out in the MRF (Materials Recovery Facility) at </w:t>
      </w:r>
      <w:proofErr w:type="spellStart"/>
      <w:r w:rsidRPr="00517843">
        <w:rPr>
          <w:rFonts w:ascii="Arial" w:hAnsi="Arial" w:cs="Arial"/>
        </w:rPr>
        <w:t>Farington</w:t>
      </w:r>
      <w:proofErr w:type="spellEnd"/>
      <w:r w:rsidRPr="00517843">
        <w:rPr>
          <w:rFonts w:ascii="Arial" w:hAnsi="Arial" w:cs="Arial"/>
        </w:rPr>
        <w:t xml:space="preserve"> are delivering positive results, </w:t>
      </w:r>
      <w:r w:rsidR="00E52877">
        <w:rPr>
          <w:rFonts w:ascii="Arial" w:hAnsi="Arial" w:cs="Arial"/>
        </w:rPr>
        <w:t>and there is</w:t>
      </w:r>
      <w:r w:rsidRPr="00517843">
        <w:rPr>
          <w:rFonts w:ascii="Arial" w:hAnsi="Arial" w:cs="Arial"/>
        </w:rPr>
        <w:t xml:space="preserve"> a reduction of tonnes of rejected material of up to 40% compared to last year's output.</w:t>
      </w:r>
    </w:p>
    <w:p w:rsidR="00622E7F" w:rsidRPr="00517843" w:rsidRDefault="00622E7F" w:rsidP="00622E7F">
      <w:pPr>
        <w:pStyle w:val="NoSpacing"/>
        <w:rPr>
          <w:rFonts w:ascii="Arial" w:hAnsi="Arial" w:cs="Arial"/>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417"/>
        <w:gridCol w:w="851"/>
        <w:gridCol w:w="1134"/>
        <w:gridCol w:w="1417"/>
        <w:gridCol w:w="1418"/>
        <w:gridCol w:w="1701"/>
        <w:gridCol w:w="1139"/>
      </w:tblGrid>
      <w:tr w:rsidR="00622E7F" w:rsidRPr="00517843" w:rsidTr="00F51064">
        <w:trPr>
          <w:trHeight w:val="474"/>
          <w:jc w:val="center"/>
        </w:trPr>
        <w:tc>
          <w:tcPr>
            <w:tcW w:w="3256" w:type="dxa"/>
            <w:tcBorders>
              <w:top w:val="single" w:sz="4" w:space="0" w:color="auto"/>
              <w:left w:val="single" w:sz="4" w:space="0" w:color="auto"/>
              <w:bottom w:val="single" w:sz="4" w:space="0" w:color="auto"/>
              <w:right w:val="single" w:sz="4" w:space="0" w:color="auto"/>
            </w:tcBorders>
            <w:hideMark/>
          </w:tcPr>
          <w:p w:rsidR="00622E7F" w:rsidRPr="00517843" w:rsidRDefault="00622E7F" w:rsidP="00E34EF7">
            <w:pPr>
              <w:pStyle w:val="NoSpacing"/>
              <w:rPr>
                <w:rFonts w:ascii="Arial" w:hAnsi="Arial" w:cs="Arial"/>
                <w:b/>
              </w:rPr>
            </w:pPr>
            <w:r w:rsidRPr="00517843">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b/>
              </w:rPr>
            </w:pPr>
            <w:r w:rsidRPr="00517843">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b/>
              </w:rPr>
            </w:pPr>
            <w:r w:rsidRPr="00517843">
              <w:rPr>
                <w:rFonts w:ascii="Arial" w:hAnsi="Arial" w:cs="Arial"/>
                <w:b/>
              </w:rPr>
              <w:t>Current (Q3) Performance</w:t>
            </w:r>
          </w:p>
        </w:tc>
        <w:tc>
          <w:tcPr>
            <w:tcW w:w="1139" w:type="dxa"/>
            <w:tcBorders>
              <w:top w:val="single" w:sz="4" w:space="0" w:color="auto"/>
              <w:left w:val="single" w:sz="4" w:space="0" w:color="auto"/>
              <w:bottom w:val="single" w:sz="4" w:space="0" w:color="auto"/>
              <w:right w:val="single" w:sz="4" w:space="0" w:color="auto"/>
            </w:tcBorders>
          </w:tcPr>
          <w:p w:rsidR="00622E7F" w:rsidRPr="00F51064" w:rsidRDefault="00622E7F" w:rsidP="00622E7F">
            <w:pPr>
              <w:pStyle w:val="NoSpacing"/>
              <w:rPr>
                <w:rFonts w:ascii="Arial" w:hAnsi="Arial" w:cs="Arial"/>
              </w:rPr>
            </w:pPr>
            <w:r w:rsidRPr="00F51064">
              <w:rPr>
                <w:rFonts w:ascii="Arial" w:hAnsi="Arial" w:cs="Arial"/>
              </w:rPr>
              <w:t>2020/21 Target</w:t>
            </w:r>
          </w:p>
        </w:tc>
      </w:tr>
      <w:tr w:rsidR="00622E7F" w:rsidRPr="00517843" w:rsidTr="00F51064">
        <w:trPr>
          <w:trHeight w:val="1436"/>
          <w:jc w:val="center"/>
        </w:trPr>
        <w:tc>
          <w:tcPr>
            <w:tcW w:w="3256" w:type="dxa"/>
            <w:tcBorders>
              <w:top w:val="single" w:sz="4" w:space="0" w:color="auto"/>
              <w:left w:val="single" w:sz="4" w:space="0" w:color="auto"/>
              <w:bottom w:val="single" w:sz="4" w:space="0" w:color="auto"/>
              <w:right w:val="single" w:sz="4" w:space="0" w:color="auto"/>
            </w:tcBorders>
            <w:hideMark/>
          </w:tcPr>
          <w:p w:rsidR="00622E7F" w:rsidRPr="00517843" w:rsidRDefault="00622E7F" w:rsidP="00E34EF7">
            <w:pPr>
              <w:pStyle w:val="NoSpacing"/>
              <w:rPr>
                <w:rFonts w:ascii="Arial" w:hAnsi="Arial" w:cs="Arial"/>
              </w:rPr>
            </w:pPr>
            <w:r w:rsidRPr="00517843">
              <w:rPr>
                <w:rFonts w:ascii="Arial" w:hAnsi="Arial" w:cs="Arial"/>
              </w:rPr>
              <w:t>Percentage of children and young people who received targeted early help support from Children and Families Wellbeing service which successfully met their identified needs</w:t>
            </w:r>
          </w:p>
        </w:tc>
        <w:tc>
          <w:tcPr>
            <w:tcW w:w="1559"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i/>
              </w:rPr>
            </w:pPr>
            <w:r w:rsidRPr="00517843">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22E7F" w:rsidRPr="00517843" w:rsidRDefault="00622E7F" w:rsidP="00622E7F">
            <w:pPr>
              <w:pStyle w:val="NoSpacing"/>
              <w:rPr>
                <w:rFonts w:ascii="Arial" w:hAnsi="Arial" w:cs="Arial"/>
              </w:rPr>
            </w:pPr>
            <w:r w:rsidRPr="00517843">
              <w:rPr>
                <w:rFonts w:ascii="Arial" w:hAnsi="Arial" w:cs="Arial"/>
              </w:rPr>
              <w:t>Q1 66% (3m average)</w:t>
            </w:r>
          </w:p>
          <w:p w:rsidR="00622E7F" w:rsidRPr="00517843" w:rsidRDefault="00622E7F" w:rsidP="00622E7F">
            <w:pPr>
              <w:pStyle w:val="NoSpacing"/>
              <w:rPr>
                <w:rFonts w:ascii="Arial" w:hAnsi="Arial" w:cs="Arial"/>
              </w:rPr>
            </w:pPr>
          </w:p>
          <w:p w:rsidR="00622E7F" w:rsidRPr="00517843" w:rsidRDefault="00622E7F" w:rsidP="00622E7F">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22E7F" w:rsidRPr="00517843" w:rsidRDefault="00622E7F" w:rsidP="00622E7F">
            <w:pPr>
              <w:pStyle w:val="NoSpacing"/>
              <w:rPr>
                <w:rFonts w:ascii="Arial" w:hAnsi="Arial" w:cs="Arial"/>
              </w:rPr>
            </w:pPr>
            <w:r w:rsidRPr="00517843">
              <w:rPr>
                <w:rFonts w:ascii="Arial" w:hAnsi="Arial" w:cs="Arial"/>
              </w:rPr>
              <w:t>Q2 64% (3m average)</w:t>
            </w:r>
          </w:p>
          <w:p w:rsidR="00622E7F" w:rsidRPr="00517843" w:rsidRDefault="00622E7F" w:rsidP="00622E7F">
            <w:pPr>
              <w:pStyle w:val="No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22E7F" w:rsidRPr="00517843" w:rsidRDefault="00622E7F" w:rsidP="00622E7F">
            <w:pPr>
              <w:pStyle w:val="NoSpacing"/>
              <w:rPr>
                <w:rFonts w:ascii="Arial" w:hAnsi="Arial" w:cs="Arial"/>
              </w:rPr>
            </w:pPr>
            <w:r w:rsidRPr="00517843">
              <w:rPr>
                <w:rFonts w:ascii="Arial" w:hAnsi="Arial" w:cs="Arial"/>
              </w:rPr>
              <w:t>Q3 66%</w:t>
            </w:r>
          </w:p>
          <w:p w:rsidR="00622E7F" w:rsidRPr="00517843" w:rsidRDefault="00622E7F" w:rsidP="00622E7F">
            <w:pPr>
              <w:pStyle w:val="NoSpacing"/>
              <w:rPr>
                <w:rFonts w:ascii="Arial" w:hAnsi="Arial" w:cs="Arial"/>
              </w:rPr>
            </w:pPr>
            <w:r w:rsidRPr="00517843">
              <w:rPr>
                <w:rFonts w:ascii="Arial" w:hAnsi="Arial" w:cs="Arial"/>
              </w:rPr>
              <w:t>(3m average)</w:t>
            </w:r>
          </w:p>
          <w:p w:rsidR="00622E7F" w:rsidRPr="00517843" w:rsidRDefault="00622E7F" w:rsidP="00622E7F">
            <w:pPr>
              <w:pStyle w:val="NoSpacing"/>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66%</w:t>
            </w:r>
          </w:p>
        </w:tc>
      </w:tr>
      <w:tr w:rsidR="0001784B" w:rsidRPr="00517843" w:rsidTr="00F51064">
        <w:trPr>
          <w:trHeight w:val="416"/>
          <w:jc w:val="center"/>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E34EF7">
            <w:pPr>
              <w:pStyle w:val="NoSpacing"/>
              <w:rPr>
                <w:rFonts w:ascii="Arial" w:hAnsi="Arial" w:cs="Arial"/>
                <w:b/>
              </w:rPr>
            </w:pPr>
            <w:r w:rsidRPr="00517843">
              <w:rPr>
                <w:rFonts w:ascii="Arial" w:hAnsi="Arial" w:cs="Arial"/>
                <w:b/>
              </w:rPr>
              <w:lastRenderedPageBreak/>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Current (Q3) Performance</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tcPr>
          <w:p w:rsidR="00622E7F" w:rsidRPr="00517843" w:rsidRDefault="00622E7F" w:rsidP="00622E7F">
            <w:pPr>
              <w:pStyle w:val="NoSpacing"/>
              <w:rPr>
                <w:rFonts w:ascii="Arial" w:hAnsi="Arial" w:cs="Arial"/>
                <w:b/>
              </w:rPr>
            </w:pPr>
            <w:r w:rsidRPr="00517843">
              <w:rPr>
                <w:rFonts w:ascii="Arial" w:hAnsi="Arial" w:cs="Arial"/>
                <w:b/>
              </w:rPr>
              <w:t>2020/21 Target</w:t>
            </w:r>
          </w:p>
        </w:tc>
      </w:tr>
      <w:tr w:rsidR="00622E7F" w:rsidRPr="00517843" w:rsidTr="00F51064">
        <w:trPr>
          <w:trHeight w:val="718"/>
          <w:jc w:val="center"/>
        </w:trPr>
        <w:tc>
          <w:tcPr>
            <w:tcW w:w="3256" w:type="dxa"/>
            <w:tcBorders>
              <w:top w:val="single" w:sz="4" w:space="0" w:color="auto"/>
              <w:left w:val="single" w:sz="4" w:space="0" w:color="auto"/>
              <w:bottom w:val="single" w:sz="4" w:space="0" w:color="auto"/>
              <w:right w:val="single" w:sz="4" w:space="0" w:color="auto"/>
            </w:tcBorders>
            <w:hideMark/>
          </w:tcPr>
          <w:p w:rsidR="00622E7F" w:rsidRPr="00517843" w:rsidRDefault="00622E7F" w:rsidP="00E34EF7">
            <w:pPr>
              <w:pStyle w:val="NoSpacing"/>
              <w:rPr>
                <w:rFonts w:ascii="Arial" w:hAnsi="Arial" w:cs="Arial"/>
              </w:rPr>
            </w:pPr>
            <w:r w:rsidRPr="00517843">
              <w:rPr>
                <w:rFonts w:ascii="Arial" w:hAnsi="Arial" w:cs="Arial"/>
              </w:rPr>
              <w:t>Percentage of children looked after who are actually living in Lancashire</w:t>
            </w:r>
          </w:p>
          <w:p w:rsidR="00622E7F" w:rsidRPr="00517843" w:rsidRDefault="00622E7F" w:rsidP="00E34EF7">
            <w:pPr>
              <w:pStyle w:val="NoSpacing"/>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622E7F" w:rsidRPr="00517843" w:rsidRDefault="00622E7F" w:rsidP="00622E7F">
            <w:pPr>
              <w:pStyle w:val="NoSpacing"/>
              <w:rPr>
                <w:rFonts w:ascii="Arial" w:hAnsi="Arial" w:cs="Arial"/>
              </w:rPr>
            </w:pPr>
            <w:r w:rsidRPr="00517843">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22E7F" w:rsidRPr="00517843" w:rsidRDefault="00622E7F" w:rsidP="00622E7F">
            <w:pPr>
              <w:pStyle w:val="NoSpacing"/>
              <w:rPr>
                <w:rFonts w:ascii="Arial" w:hAnsi="Arial" w:cs="Arial"/>
              </w:rPr>
            </w:pPr>
            <w:r w:rsidRPr="00517843">
              <w:rPr>
                <w:rFonts w:ascii="Arial" w:hAnsi="Arial" w:cs="Arial"/>
              </w:rPr>
              <w:t xml:space="preserve">77.5% </w:t>
            </w:r>
            <w:r w:rsidRPr="00517843">
              <w:rPr>
                <w:rFonts w:ascii="Arial" w:hAnsi="Arial" w:cs="Arial"/>
              </w:rPr>
              <w:br/>
              <w:t>Mar 2019</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622E7F" w:rsidRPr="00517843" w:rsidRDefault="00622E7F" w:rsidP="00622E7F">
            <w:pPr>
              <w:pStyle w:val="NoSpacing"/>
              <w:rPr>
                <w:rFonts w:ascii="Arial" w:hAnsi="Arial" w:cs="Arial"/>
              </w:rPr>
            </w:pPr>
            <w:r w:rsidRPr="00517843">
              <w:rPr>
                <w:rFonts w:ascii="Arial" w:hAnsi="Arial" w:cs="Arial"/>
              </w:rPr>
              <w:t xml:space="preserve">Q1 75.5% </w:t>
            </w:r>
          </w:p>
          <w:p w:rsidR="00622E7F" w:rsidRPr="00517843" w:rsidRDefault="00622E7F" w:rsidP="00622E7F">
            <w:pPr>
              <w:pStyle w:val="NoSpacing"/>
              <w:rPr>
                <w:rFonts w:ascii="Arial" w:hAnsi="Arial" w:cs="Arial"/>
              </w:rPr>
            </w:pPr>
          </w:p>
          <w:p w:rsidR="00622E7F" w:rsidRPr="00517843" w:rsidRDefault="00622E7F" w:rsidP="00622E7F">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22E7F" w:rsidRPr="00517843" w:rsidRDefault="00622E7F" w:rsidP="00622E7F">
            <w:pPr>
              <w:pStyle w:val="NoSpacing"/>
              <w:rPr>
                <w:rFonts w:ascii="Arial" w:hAnsi="Arial" w:cs="Arial"/>
              </w:rPr>
            </w:pPr>
            <w:r w:rsidRPr="00517843">
              <w:rPr>
                <w:rFonts w:ascii="Arial" w:hAnsi="Arial" w:cs="Arial"/>
              </w:rPr>
              <w:t>Q2 76.8%</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22E7F" w:rsidRPr="00517843" w:rsidRDefault="00622E7F" w:rsidP="00622E7F">
            <w:pPr>
              <w:pStyle w:val="NoSpacing"/>
              <w:rPr>
                <w:rFonts w:ascii="Arial" w:hAnsi="Arial" w:cs="Arial"/>
              </w:rPr>
            </w:pPr>
            <w:r w:rsidRPr="00517843">
              <w:rPr>
                <w:rFonts w:ascii="Arial" w:hAnsi="Arial" w:cs="Arial"/>
              </w:rPr>
              <w:t>Q3  78.8%</w:t>
            </w:r>
          </w:p>
        </w:tc>
        <w:tc>
          <w:tcPr>
            <w:tcW w:w="1139" w:type="dxa"/>
            <w:tcBorders>
              <w:top w:val="single" w:sz="4" w:space="0" w:color="auto"/>
              <w:left w:val="single" w:sz="4" w:space="0" w:color="auto"/>
              <w:bottom w:val="single" w:sz="4" w:space="0" w:color="auto"/>
              <w:right w:val="single" w:sz="4" w:space="0" w:color="auto"/>
            </w:tcBorders>
          </w:tcPr>
          <w:p w:rsidR="00622E7F" w:rsidRPr="00517843" w:rsidRDefault="00622E7F" w:rsidP="00622E7F">
            <w:pPr>
              <w:pStyle w:val="NoSpacing"/>
              <w:rPr>
                <w:rFonts w:ascii="Arial" w:hAnsi="Arial" w:cs="Arial"/>
              </w:rPr>
            </w:pPr>
            <w:r w:rsidRPr="00517843">
              <w:rPr>
                <w:rFonts w:ascii="Arial" w:hAnsi="Arial" w:cs="Arial"/>
              </w:rPr>
              <w:t>80%</w:t>
            </w:r>
          </w:p>
        </w:tc>
      </w:tr>
    </w:tbl>
    <w:p w:rsidR="00622E7F" w:rsidRPr="00517843" w:rsidRDefault="00622E7F" w:rsidP="00622E7F">
      <w:pPr>
        <w:pStyle w:val="NoSpacing"/>
        <w:rPr>
          <w:rFonts w:ascii="Arial" w:hAnsi="Arial" w:cs="Arial"/>
        </w:rPr>
      </w:pPr>
    </w:p>
    <w:p w:rsidR="00622E7F" w:rsidRPr="00517843" w:rsidRDefault="00C558E7" w:rsidP="00145B8D">
      <w:pPr>
        <w:pStyle w:val="NoSpacing"/>
        <w:jc w:val="both"/>
        <w:rPr>
          <w:rFonts w:ascii="Arial" w:hAnsi="Arial" w:cs="Arial"/>
        </w:rPr>
      </w:pPr>
      <w:r w:rsidRPr="00C558E7">
        <w:rPr>
          <w:rFonts w:ascii="Arial" w:hAnsi="Arial" w:cs="Arial"/>
          <w:b/>
        </w:rPr>
        <w:t>Children and Families Wellbeing Service</w:t>
      </w:r>
      <w:r>
        <w:rPr>
          <w:rFonts w:ascii="Arial" w:hAnsi="Arial" w:cs="Arial"/>
        </w:rPr>
        <w:t xml:space="preserve">. </w:t>
      </w:r>
      <w:r w:rsidR="00622E7F" w:rsidRPr="00517843">
        <w:rPr>
          <w:rFonts w:ascii="Arial" w:hAnsi="Arial" w:cs="Arial"/>
        </w:rPr>
        <w:t xml:space="preserve">The percentage of children and young people who received targeted early help support from Children and Families Wellbeing service which successfully met their identified needs has increased by 2% during quarter 3 to 66% and is on target. </w:t>
      </w:r>
    </w:p>
    <w:p w:rsidR="00622E7F" w:rsidRPr="00517843" w:rsidRDefault="00622E7F" w:rsidP="00622E7F">
      <w:pPr>
        <w:pStyle w:val="NoSpacing"/>
        <w:rPr>
          <w:rFonts w:ascii="Arial" w:hAnsi="Arial" w:cs="Arial"/>
        </w:rPr>
      </w:pPr>
    </w:p>
    <w:p w:rsidR="00622E7F" w:rsidRPr="00517843" w:rsidRDefault="00C558E7" w:rsidP="00145B8D">
      <w:pPr>
        <w:pStyle w:val="NoSpacing"/>
        <w:jc w:val="both"/>
        <w:rPr>
          <w:rFonts w:ascii="Arial" w:hAnsi="Arial" w:cs="Arial"/>
        </w:rPr>
      </w:pPr>
      <w:r w:rsidRPr="00C558E7">
        <w:rPr>
          <w:rFonts w:ascii="Arial" w:hAnsi="Arial" w:cs="Arial"/>
          <w:b/>
        </w:rPr>
        <w:t>Looked after children actually living in Lancashire.</w:t>
      </w:r>
      <w:r>
        <w:rPr>
          <w:rFonts w:ascii="Arial" w:hAnsi="Arial" w:cs="Arial"/>
        </w:rPr>
        <w:t xml:space="preserve"> </w:t>
      </w:r>
      <w:r w:rsidR="00622E7F" w:rsidRPr="00517843">
        <w:rPr>
          <w:rFonts w:ascii="Arial" w:hAnsi="Arial" w:cs="Arial"/>
        </w:rPr>
        <w:t>Percentage of children looked after who are actually living in Lancashire is at a relatively high level</w:t>
      </w:r>
      <w:r w:rsidR="00F51064">
        <w:rPr>
          <w:rFonts w:ascii="Arial" w:hAnsi="Arial" w:cs="Arial"/>
        </w:rPr>
        <w:t xml:space="preserve"> and</w:t>
      </w:r>
      <w:r w:rsidR="00622E7F" w:rsidRPr="00517843">
        <w:rPr>
          <w:rFonts w:ascii="Arial" w:hAnsi="Arial" w:cs="Arial"/>
        </w:rPr>
        <w:t xml:space="preserve"> making steady progress towards the 2020/21 80% target.</w:t>
      </w:r>
    </w:p>
    <w:p w:rsidR="009B6205" w:rsidRDefault="009B6205" w:rsidP="00622E7F">
      <w:pPr>
        <w:pStyle w:val="NoSpacing"/>
        <w:rPr>
          <w:rFonts w:ascii="Arial" w:hAnsi="Arial" w:cs="Arial"/>
          <w:color w:val="000000"/>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417"/>
        <w:gridCol w:w="851"/>
        <w:gridCol w:w="1134"/>
        <w:gridCol w:w="1417"/>
        <w:gridCol w:w="1418"/>
        <w:gridCol w:w="1701"/>
        <w:gridCol w:w="1134"/>
      </w:tblGrid>
      <w:tr w:rsidR="00BD4E0A" w:rsidRPr="00BD4E0A" w:rsidTr="00F51064">
        <w:trPr>
          <w:trHeight w:val="239"/>
          <w:jc w:val="center"/>
        </w:trPr>
        <w:tc>
          <w:tcPr>
            <w:tcW w:w="3256"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b/>
              </w:rPr>
            </w:pPr>
            <w:r w:rsidRPr="00517843">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b/>
              </w:rPr>
            </w:pPr>
            <w:r w:rsidRPr="00517843">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b/>
              </w:rPr>
            </w:pPr>
            <w:r w:rsidRPr="00517843">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b/>
              </w:rPr>
            </w:pPr>
            <w:r w:rsidRPr="00517843">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D4E0A" w:rsidRPr="00517843" w:rsidRDefault="00BD4E0A" w:rsidP="00E34EF7">
            <w:pPr>
              <w:pStyle w:val="NoSpacing"/>
              <w:rPr>
                <w:rFonts w:ascii="Arial" w:hAnsi="Arial" w:cs="Arial"/>
                <w:b/>
              </w:rPr>
            </w:pPr>
            <w:r w:rsidRPr="00517843">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4E0A" w:rsidRPr="00517843" w:rsidRDefault="00BD4E0A" w:rsidP="00E34EF7">
            <w:pPr>
              <w:pStyle w:val="NoSpacing"/>
              <w:rPr>
                <w:rFonts w:ascii="Arial" w:hAnsi="Arial" w:cs="Arial"/>
                <w:b/>
              </w:rPr>
            </w:pPr>
            <w:r w:rsidRPr="00517843">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4E0A" w:rsidRPr="00517843" w:rsidRDefault="00BD4E0A" w:rsidP="00E34EF7">
            <w:pPr>
              <w:pStyle w:val="NoSpacing"/>
              <w:rPr>
                <w:rFonts w:ascii="Arial" w:hAnsi="Arial" w:cs="Arial"/>
                <w:b/>
              </w:rPr>
            </w:pPr>
            <w:r w:rsidRPr="00517843">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BD4E0A" w:rsidRPr="00517843" w:rsidRDefault="00BD4E0A" w:rsidP="00E34EF7">
            <w:pPr>
              <w:pStyle w:val="NoSpacing"/>
              <w:rPr>
                <w:rFonts w:ascii="Arial" w:hAnsi="Arial" w:cs="Arial"/>
                <w:b/>
              </w:rPr>
            </w:pPr>
            <w:r w:rsidRPr="00517843">
              <w:rPr>
                <w:rFonts w:ascii="Arial" w:hAnsi="Arial" w:cs="Arial"/>
                <w:b/>
              </w:rPr>
              <w:t>Current (Q3) Performance</w:t>
            </w:r>
          </w:p>
        </w:tc>
        <w:tc>
          <w:tcPr>
            <w:tcW w:w="1134"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b/>
              </w:rPr>
            </w:pPr>
            <w:r w:rsidRPr="00517843">
              <w:rPr>
                <w:rFonts w:ascii="Arial" w:hAnsi="Arial" w:cs="Arial"/>
                <w:b/>
              </w:rPr>
              <w:t>2020/21 Target</w:t>
            </w:r>
          </w:p>
        </w:tc>
      </w:tr>
      <w:tr w:rsidR="00BD4E0A" w:rsidRPr="00BD4E0A" w:rsidTr="00F51064">
        <w:trPr>
          <w:trHeight w:val="962"/>
          <w:jc w:val="center"/>
        </w:trPr>
        <w:tc>
          <w:tcPr>
            <w:tcW w:w="3256"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rPr>
            </w:pPr>
            <w:r w:rsidRPr="00517843">
              <w:rPr>
                <w:rFonts w:ascii="Arial" w:hAnsi="Arial" w:cs="Arial"/>
              </w:rPr>
              <w:t>Percentage of children achieving a good level of development at the Early Years Foundation Stage</w:t>
            </w:r>
          </w:p>
        </w:tc>
        <w:tc>
          <w:tcPr>
            <w:tcW w:w="1559"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rPr>
            </w:pPr>
            <w:r w:rsidRPr="00517843">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rPr>
            </w:pPr>
            <w:r w:rsidRPr="00517843">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BD4E0A" w:rsidRPr="00517843" w:rsidRDefault="00BD4E0A" w:rsidP="00E34EF7">
            <w:pPr>
              <w:pStyle w:val="NoSpacing"/>
              <w:rPr>
                <w:rFonts w:ascii="Arial" w:hAnsi="Arial" w:cs="Arial"/>
              </w:rPr>
            </w:pPr>
            <w:r w:rsidRPr="00517843">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rsidR="00BD4E0A" w:rsidRPr="00517843" w:rsidRDefault="00BD4E0A" w:rsidP="00E34EF7">
            <w:pPr>
              <w:pStyle w:val="NoSpacing"/>
              <w:rPr>
                <w:rFonts w:ascii="Arial" w:hAnsi="Arial" w:cs="Arial"/>
                <w:color w:val="FFFFFF" w:themeColor="background1"/>
              </w:rPr>
            </w:pPr>
            <w:r w:rsidRPr="00517843">
              <w:rPr>
                <w:rFonts w:ascii="Arial" w:hAnsi="Arial" w:cs="Arial"/>
                <w:color w:val="FFFFFF" w:themeColor="background1"/>
              </w:rPr>
              <w:t xml:space="preserve">69.5 </w:t>
            </w:r>
          </w:p>
          <w:p w:rsidR="00BD4E0A" w:rsidRPr="00BD4E0A" w:rsidRDefault="00BD4E0A" w:rsidP="00E34EF7">
            <w:pPr>
              <w:pStyle w:val="NoSpacing"/>
              <w:rPr>
                <w:rFonts w:ascii="Arial" w:hAnsi="Arial" w:cs="Arial"/>
                <w:color w:val="0070C0"/>
              </w:rPr>
            </w:pPr>
            <w:r w:rsidRPr="00517843">
              <w:rPr>
                <w:rFonts w:ascii="Arial" w:hAnsi="Arial" w:cs="Arial"/>
                <w:color w:val="FFFFFF" w:themeColor="background1"/>
              </w:rPr>
              <w:t>(2017/18)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D4E0A" w:rsidRPr="00517843" w:rsidRDefault="00BD4E0A" w:rsidP="00E34EF7">
            <w:pPr>
              <w:pStyle w:val="NoSpacing"/>
              <w:rPr>
                <w:rFonts w:ascii="Arial" w:hAnsi="Arial" w:cs="Arial"/>
              </w:rPr>
            </w:pPr>
            <w:r w:rsidRPr="00517843">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4E0A" w:rsidRPr="00517843" w:rsidRDefault="00BD4E0A" w:rsidP="00E34EF7">
            <w:pPr>
              <w:pStyle w:val="NoSpacing"/>
              <w:rPr>
                <w:rFonts w:ascii="Arial" w:hAnsi="Arial" w:cs="Arial"/>
              </w:rPr>
            </w:pPr>
            <w:r w:rsidRPr="0051784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BD4E0A" w:rsidRPr="00517843" w:rsidRDefault="00BD4E0A" w:rsidP="00E34EF7">
            <w:pPr>
              <w:pStyle w:val="NoSpacing"/>
              <w:rPr>
                <w:rFonts w:ascii="Arial" w:hAnsi="Arial" w:cs="Arial"/>
                <w:color w:val="FFFFFF" w:themeColor="background1"/>
              </w:rPr>
            </w:pPr>
            <w:r w:rsidRPr="00517843">
              <w:rPr>
                <w:rFonts w:ascii="Arial" w:hAnsi="Arial" w:cs="Arial"/>
                <w:color w:val="FFFFFF" w:themeColor="background1"/>
                <w:shd w:val="clear" w:color="auto" w:fill="FF0000"/>
              </w:rPr>
              <w:t>69.2% (2018/19</w:t>
            </w:r>
            <w:r w:rsidRPr="00517843">
              <w:rPr>
                <w:rFonts w:ascii="Arial" w:hAnsi="Arial" w:cs="Arial"/>
                <w:color w:val="FFFFFF" w:themeColor="background1"/>
              </w:rPr>
              <w:t>)</w:t>
            </w:r>
          </w:p>
        </w:tc>
        <w:tc>
          <w:tcPr>
            <w:tcW w:w="1134" w:type="dxa"/>
            <w:tcBorders>
              <w:top w:val="single" w:sz="4" w:space="0" w:color="auto"/>
              <w:left w:val="single" w:sz="4" w:space="0" w:color="auto"/>
              <w:bottom w:val="single" w:sz="4" w:space="0" w:color="auto"/>
              <w:right w:val="single" w:sz="4" w:space="0" w:color="auto"/>
            </w:tcBorders>
          </w:tcPr>
          <w:p w:rsidR="00BD4E0A" w:rsidRPr="00BD4E0A" w:rsidRDefault="00BD4E0A" w:rsidP="00E34EF7">
            <w:pPr>
              <w:pStyle w:val="NoSpacing"/>
              <w:rPr>
                <w:rFonts w:ascii="Arial" w:hAnsi="Arial" w:cs="Arial"/>
                <w:color w:val="0070C0"/>
              </w:rPr>
            </w:pPr>
            <w:r w:rsidRPr="00517843">
              <w:rPr>
                <w:rFonts w:ascii="Arial" w:hAnsi="Arial" w:cs="Arial"/>
              </w:rPr>
              <w:t>72.8%</w:t>
            </w:r>
          </w:p>
        </w:tc>
      </w:tr>
    </w:tbl>
    <w:p w:rsidR="009B6205" w:rsidRDefault="009B6205" w:rsidP="00622E7F">
      <w:pPr>
        <w:pStyle w:val="NoSpacing"/>
        <w:rPr>
          <w:rFonts w:ascii="Arial" w:hAnsi="Arial" w:cs="Arial"/>
          <w:color w:val="000000"/>
        </w:rPr>
      </w:pPr>
    </w:p>
    <w:p w:rsidR="00BD4E0A" w:rsidRPr="001A49B5" w:rsidRDefault="00C558E7" w:rsidP="00F51064">
      <w:pPr>
        <w:pStyle w:val="NoSpacing"/>
        <w:jc w:val="both"/>
        <w:rPr>
          <w:rFonts w:ascii="Arial" w:hAnsi="Arial" w:cs="Arial"/>
        </w:rPr>
      </w:pPr>
      <w:r w:rsidRPr="00C558E7">
        <w:rPr>
          <w:rFonts w:ascii="Arial" w:hAnsi="Arial" w:cs="Arial"/>
          <w:b/>
        </w:rPr>
        <w:t>Early Years Foundation Stage</w:t>
      </w:r>
      <w:r>
        <w:rPr>
          <w:rFonts w:ascii="Arial" w:hAnsi="Arial" w:cs="Arial"/>
        </w:rPr>
        <w:t xml:space="preserve">. </w:t>
      </w:r>
      <w:r w:rsidR="00BD4E0A" w:rsidRPr="001A49B5">
        <w:rPr>
          <w:rFonts w:ascii="Arial" w:hAnsi="Arial" w:cs="Arial"/>
        </w:rPr>
        <w:t xml:space="preserve">Performance of Lancashire pupils at Early Years </w:t>
      </w:r>
      <w:r w:rsidR="00145B8D">
        <w:rPr>
          <w:rFonts w:ascii="Arial" w:hAnsi="Arial" w:cs="Arial"/>
        </w:rPr>
        <w:t>Foundation Stage (EYFS) remains</w:t>
      </w:r>
      <w:r w:rsidR="00BD4E0A" w:rsidRPr="001A49B5">
        <w:rPr>
          <w:rFonts w:ascii="Arial" w:hAnsi="Arial" w:cs="Arial"/>
        </w:rPr>
        <w:t xml:space="preserve"> stable. Recent data published by the D</w:t>
      </w:r>
      <w:r>
        <w:rPr>
          <w:rFonts w:ascii="Arial" w:hAnsi="Arial" w:cs="Arial"/>
        </w:rPr>
        <w:t xml:space="preserve">epartment </w:t>
      </w:r>
      <w:r w:rsidR="00BD4E0A" w:rsidRPr="001A49B5">
        <w:rPr>
          <w:rFonts w:ascii="Arial" w:hAnsi="Arial" w:cs="Arial"/>
        </w:rPr>
        <w:t>f</w:t>
      </w:r>
      <w:r>
        <w:rPr>
          <w:rFonts w:ascii="Arial" w:hAnsi="Arial" w:cs="Arial"/>
        </w:rPr>
        <w:t xml:space="preserve">or </w:t>
      </w:r>
      <w:r w:rsidR="00BD4E0A" w:rsidRPr="001A49B5">
        <w:rPr>
          <w:rFonts w:ascii="Arial" w:hAnsi="Arial" w:cs="Arial"/>
        </w:rPr>
        <w:t>E</w:t>
      </w:r>
      <w:r>
        <w:rPr>
          <w:rFonts w:ascii="Arial" w:hAnsi="Arial" w:cs="Arial"/>
        </w:rPr>
        <w:t>ducation</w:t>
      </w:r>
      <w:r w:rsidR="00BD4E0A" w:rsidRPr="001A49B5">
        <w:rPr>
          <w:rFonts w:ascii="Arial" w:hAnsi="Arial" w:cs="Arial"/>
        </w:rPr>
        <w:t xml:space="preserve"> </w:t>
      </w:r>
      <w:r w:rsidR="00A00251">
        <w:rPr>
          <w:rFonts w:ascii="Arial" w:hAnsi="Arial" w:cs="Arial"/>
        </w:rPr>
        <w:t>(</w:t>
      </w:r>
      <w:proofErr w:type="spellStart"/>
      <w:r w:rsidR="00A00251">
        <w:rPr>
          <w:rFonts w:ascii="Arial" w:hAnsi="Arial" w:cs="Arial"/>
        </w:rPr>
        <w:t>DfE</w:t>
      </w:r>
      <w:proofErr w:type="spellEnd"/>
      <w:r w:rsidR="00A00251">
        <w:rPr>
          <w:rFonts w:ascii="Arial" w:hAnsi="Arial" w:cs="Arial"/>
        </w:rPr>
        <w:t xml:space="preserve">) </w:t>
      </w:r>
      <w:r w:rsidR="00BD4E0A" w:rsidRPr="001A49B5">
        <w:rPr>
          <w:rFonts w:ascii="Arial" w:hAnsi="Arial" w:cs="Arial"/>
        </w:rPr>
        <w:t>for the period 2018/19 suggests 69.2% of Lancashire EYFS pupils achieved a 'Good level of development' at EYFS. The Lancashire average was</w:t>
      </w:r>
      <w:r w:rsidR="00F51064">
        <w:rPr>
          <w:rFonts w:ascii="Arial" w:hAnsi="Arial" w:cs="Arial"/>
        </w:rPr>
        <w:t>,</w:t>
      </w:r>
      <w:r w:rsidR="00BD4E0A" w:rsidRPr="001A49B5">
        <w:rPr>
          <w:rFonts w:ascii="Arial" w:hAnsi="Arial" w:cs="Arial"/>
        </w:rPr>
        <w:t xml:space="preserve"> however</w:t>
      </w:r>
      <w:r w:rsidR="00F51064">
        <w:rPr>
          <w:rFonts w:ascii="Arial" w:hAnsi="Arial" w:cs="Arial"/>
        </w:rPr>
        <w:t>,</w:t>
      </w:r>
      <w:r w:rsidR="00BD4E0A" w:rsidRPr="001A49B5">
        <w:rPr>
          <w:rFonts w:ascii="Arial" w:hAnsi="Arial" w:cs="Arial"/>
        </w:rPr>
        <w:t xml:space="preserve"> lower compared to the national (71.8%), statistical neighbour (71.5%) but similar to the regional (68.9%) averages. Lancashire </w:t>
      </w:r>
      <w:r w:rsidR="00145B8D">
        <w:rPr>
          <w:rFonts w:ascii="Arial" w:hAnsi="Arial" w:cs="Arial"/>
        </w:rPr>
        <w:t>is</w:t>
      </w:r>
      <w:r w:rsidR="00BD4E0A" w:rsidRPr="001A49B5">
        <w:rPr>
          <w:rFonts w:ascii="Arial" w:hAnsi="Arial" w:cs="Arial"/>
        </w:rPr>
        <w:t xml:space="preserve"> positioned in the 4rd quartile nationally against this indicator (ranked 121 from 151 authorities).</w:t>
      </w:r>
      <w:r w:rsidR="00BD4E0A" w:rsidRPr="001A49B5">
        <w:rPr>
          <w:rFonts w:ascii="Arial" w:hAnsi="Arial" w:cs="Arial"/>
          <w:b/>
        </w:rPr>
        <w:t xml:space="preserve"> </w:t>
      </w:r>
      <w:r w:rsidR="00BD4E0A" w:rsidRPr="001A49B5">
        <w:rPr>
          <w:rFonts w:ascii="Arial" w:hAnsi="Arial" w:cs="Arial"/>
        </w:rPr>
        <w:t xml:space="preserve">This remains off the target of 72.8% set for 2020/21.  </w:t>
      </w:r>
    </w:p>
    <w:p w:rsidR="00BD4E0A" w:rsidRPr="001A49B5" w:rsidRDefault="00BD4E0A" w:rsidP="00BD4E0A">
      <w:pPr>
        <w:pStyle w:val="NoSpacing"/>
        <w:rPr>
          <w:rFonts w:ascii="Arial" w:hAnsi="Arial" w:cs="Arial"/>
        </w:rPr>
      </w:pPr>
    </w:p>
    <w:p w:rsidR="00BD4E0A" w:rsidRPr="001A49B5" w:rsidRDefault="00BD4E0A" w:rsidP="00BD4E0A">
      <w:pPr>
        <w:pStyle w:val="NoSpacing"/>
        <w:rPr>
          <w:rFonts w:ascii="Arial" w:hAnsi="Arial" w:cs="Arial"/>
        </w:rPr>
      </w:pPr>
      <w:r w:rsidRPr="001A49B5">
        <w:rPr>
          <w:rFonts w:ascii="Arial" w:hAnsi="Arial" w:cs="Arial"/>
        </w:rPr>
        <w:t>Improvements in order to reach this target are being sought through several developments including:</w:t>
      </w:r>
    </w:p>
    <w:p w:rsidR="00BD4E0A" w:rsidRPr="001A49B5" w:rsidRDefault="00BD4E0A" w:rsidP="00BD4E0A">
      <w:pPr>
        <w:pStyle w:val="NoSpacing"/>
        <w:numPr>
          <w:ilvl w:val="0"/>
          <w:numId w:val="10"/>
        </w:numPr>
        <w:rPr>
          <w:rFonts w:ascii="Arial" w:hAnsi="Arial" w:cs="Arial"/>
        </w:rPr>
      </w:pPr>
      <w:r w:rsidRPr="001A49B5">
        <w:rPr>
          <w:rFonts w:ascii="Arial" w:hAnsi="Arial" w:cs="Arial"/>
        </w:rPr>
        <w:t>An Early Years Peer Review taking place: 24-27 March 2020</w:t>
      </w:r>
    </w:p>
    <w:p w:rsidR="00145B8D" w:rsidRDefault="00BD4E0A" w:rsidP="0014394D">
      <w:pPr>
        <w:pStyle w:val="NoSpacing"/>
        <w:numPr>
          <w:ilvl w:val="0"/>
          <w:numId w:val="10"/>
        </w:numPr>
        <w:rPr>
          <w:rFonts w:ascii="Arial" w:hAnsi="Arial" w:cs="Arial"/>
        </w:rPr>
      </w:pPr>
      <w:r w:rsidRPr="00145B8D">
        <w:rPr>
          <w:rFonts w:ascii="Arial" w:hAnsi="Arial" w:cs="Arial"/>
        </w:rPr>
        <w:t xml:space="preserve">Early Years Strategy co-produced with Health </w:t>
      </w:r>
    </w:p>
    <w:p w:rsidR="00BD4E0A" w:rsidRPr="00145B8D" w:rsidRDefault="00BD4E0A" w:rsidP="0014394D">
      <w:pPr>
        <w:pStyle w:val="NoSpacing"/>
        <w:numPr>
          <w:ilvl w:val="0"/>
          <w:numId w:val="10"/>
        </w:numPr>
        <w:rPr>
          <w:rFonts w:ascii="Arial" w:hAnsi="Arial" w:cs="Arial"/>
        </w:rPr>
      </w:pPr>
      <w:r w:rsidRPr="00145B8D">
        <w:rPr>
          <w:rFonts w:ascii="Arial" w:hAnsi="Arial" w:cs="Arial"/>
        </w:rPr>
        <w:t>Focused conversation in primary school adviser visits</w:t>
      </w:r>
    </w:p>
    <w:p w:rsidR="00BD4E0A" w:rsidRPr="00BD4E0A" w:rsidRDefault="00BD4E0A" w:rsidP="00BD4E0A">
      <w:pPr>
        <w:pStyle w:val="NoSpacing"/>
        <w:rPr>
          <w:rFonts w:ascii="Arial" w:hAnsi="Arial" w:cs="Arial"/>
          <w:color w:val="0070C0"/>
        </w:rPr>
      </w:pPr>
    </w:p>
    <w:p w:rsidR="00622E7F" w:rsidRPr="001A49B5" w:rsidRDefault="00BD4E0A" w:rsidP="00BD4E0A">
      <w:pPr>
        <w:pStyle w:val="NoSpacing"/>
        <w:rPr>
          <w:rFonts w:ascii="Arial" w:hAnsi="Arial" w:cs="Arial"/>
        </w:rPr>
      </w:pPr>
      <w:r w:rsidRPr="001A49B5">
        <w:rPr>
          <w:rFonts w:ascii="Arial" w:hAnsi="Arial" w:cs="Arial"/>
        </w:rPr>
        <w:t>There is also an Early Years joint evidence statement on closing the gap that includes SEND performance.</w:t>
      </w:r>
    </w:p>
    <w:p w:rsidR="00A766E4" w:rsidRPr="001A49B5" w:rsidRDefault="00A766E4" w:rsidP="00BD4E0A">
      <w:pPr>
        <w:pStyle w:val="NoSpacing"/>
        <w:rPr>
          <w:rFonts w:ascii="Arial" w:hAnsi="Arial" w:cs="Arial"/>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559"/>
        <w:gridCol w:w="851"/>
        <w:gridCol w:w="1134"/>
        <w:gridCol w:w="1417"/>
        <w:gridCol w:w="1276"/>
        <w:gridCol w:w="1843"/>
        <w:gridCol w:w="1134"/>
      </w:tblGrid>
      <w:tr w:rsidR="001A49B5" w:rsidRPr="001A49B5" w:rsidTr="00F51064">
        <w:trPr>
          <w:trHeight w:val="306"/>
          <w:jc w:val="center"/>
        </w:trPr>
        <w:tc>
          <w:tcPr>
            <w:tcW w:w="3397"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b/>
              </w:rPr>
            </w:pPr>
            <w:r w:rsidRPr="001A49B5">
              <w:rPr>
                <w:rFonts w:ascii="Arial" w:hAnsi="Arial" w:cs="Arial"/>
                <w:b/>
              </w:rPr>
              <w:lastRenderedPageBreak/>
              <w:t>Performance Indicator</w:t>
            </w:r>
          </w:p>
        </w:tc>
        <w:tc>
          <w:tcPr>
            <w:tcW w:w="1418"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b/>
              </w:rPr>
            </w:pPr>
            <w:r w:rsidRPr="001A49B5">
              <w:rPr>
                <w:rFonts w:ascii="Arial" w:hAnsi="Arial" w:cs="Arial"/>
                <w:b/>
              </w:rPr>
              <w:t>Frequency</w:t>
            </w:r>
          </w:p>
        </w:tc>
        <w:tc>
          <w:tcPr>
            <w:tcW w:w="1559"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b/>
              </w:rPr>
            </w:pPr>
            <w:r w:rsidRPr="001A49B5">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b/>
              </w:rPr>
            </w:pPr>
            <w:r w:rsidRPr="001A49B5">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D666D" w:rsidRPr="001A49B5" w:rsidRDefault="00ED666D" w:rsidP="00ED666D">
            <w:pPr>
              <w:pStyle w:val="NoSpacing"/>
              <w:rPr>
                <w:rFonts w:ascii="Arial" w:hAnsi="Arial" w:cs="Arial"/>
                <w:b/>
              </w:rPr>
            </w:pPr>
            <w:r w:rsidRPr="001A49B5">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666D" w:rsidRPr="001A49B5" w:rsidRDefault="00ED666D" w:rsidP="00ED666D">
            <w:pPr>
              <w:pStyle w:val="NoSpacing"/>
              <w:rPr>
                <w:rFonts w:ascii="Arial" w:hAnsi="Arial" w:cs="Arial"/>
                <w:b/>
              </w:rPr>
            </w:pPr>
            <w:r w:rsidRPr="001A49B5">
              <w:rPr>
                <w:rFonts w:ascii="Arial" w:hAnsi="Arial" w:cs="Arial"/>
                <w:b/>
              </w:rPr>
              <w:t xml:space="preserve">Q1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66D" w:rsidRPr="001A49B5" w:rsidRDefault="00ED666D" w:rsidP="00ED666D">
            <w:pPr>
              <w:pStyle w:val="NoSpacing"/>
              <w:rPr>
                <w:rFonts w:ascii="Arial" w:hAnsi="Arial" w:cs="Arial"/>
                <w:b/>
              </w:rPr>
            </w:pPr>
            <w:r w:rsidRPr="001A49B5">
              <w:rPr>
                <w:rFonts w:ascii="Arial" w:hAnsi="Arial" w:cs="Arial"/>
                <w:b/>
              </w:rPr>
              <w:t>Q2</w:t>
            </w:r>
          </w:p>
        </w:tc>
        <w:tc>
          <w:tcPr>
            <w:tcW w:w="1843" w:type="dxa"/>
            <w:tcBorders>
              <w:top w:val="single" w:sz="4" w:space="0" w:color="auto"/>
              <w:left w:val="single" w:sz="4" w:space="0" w:color="auto"/>
              <w:bottom w:val="nil"/>
              <w:right w:val="single" w:sz="4" w:space="0" w:color="auto"/>
            </w:tcBorders>
            <w:shd w:val="clear" w:color="auto" w:fill="FFFFFF" w:themeFill="background1"/>
          </w:tcPr>
          <w:p w:rsidR="00ED666D" w:rsidRPr="001A49B5" w:rsidRDefault="00ED666D" w:rsidP="00ED666D">
            <w:pPr>
              <w:pStyle w:val="NoSpacing"/>
              <w:rPr>
                <w:rFonts w:ascii="Arial" w:hAnsi="Arial" w:cs="Arial"/>
                <w:b/>
              </w:rPr>
            </w:pPr>
            <w:r w:rsidRPr="001A49B5">
              <w:rPr>
                <w:rFonts w:ascii="Arial" w:hAnsi="Arial" w:cs="Arial"/>
                <w:b/>
              </w:rPr>
              <w:t>Current (Q3) Performance</w:t>
            </w:r>
          </w:p>
        </w:tc>
        <w:tc>
          <w:tcPr>
            <w:tcW w:w="1134"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b/>
              </w:rPr>
            </w:pPr>
            <w:r w:rsidRPr="001A49B5">
              <w:rPr>
                <w:rFonts w:ascii="Arial" w:hAnsi="Arial" w:cs="Arial"/>
                <w:b/>
              </w:rPr>
              <w:t>2020/21 Target</w:t>
            </w:r>
          </w:p>
        </w:tc>
      </w:tr>
      <w:tr w:rsidR="001A49B5" w:rsidRPr="001A49B5" w:rsidTr="00F51064">
        <w:trPr>
          <w:trHeight w:val="962"/>
          <w:jc w:val="center"/>
        </w:trPr>
        <w:tc>
          <w:tcPr>
            <w:tcW w:w="3397"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i/>
              </w:rPr>
            </w:pPr>
            <w:r w:rsidRPr="001A49B5">
              <w:rPr>
                <w:rFonts w:ascii="Arial" w:hAnsi="Arial" w:cs="Arial"/>
              </w:rPr>
              <w:t>Percentage primary pupils offered one of top three preferences</w:t>
            </w:r>
          </w:p>
        </w:tc>
        <w:tc>
          <w:tcPr>
            <w:tcW w:w="1418"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rPr>
            </w:pPr>
            <w:r w:rsidRPr="001A49B5">
              <w:rPr>
                <w:rFonts w:ascii="Arial" w:hAnsi="Arial" w:cs="Arial"/>
              </w:rPr>
              <w:t>Annual</w:t>
            </w:r>
          </w:p>
        </w:tc>
        <w:tc>
          <w:tcPr>
            <w:tcW w:w="1559"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rPr>
            </w:pPr>
            <w:r w:rsidRPr="001A49B5">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rPr>
            </w:pPr>
            <w:r w:rsidRPr="001A49B5">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D666D" w:rsidRPr="0001784B" w:rsidRDefault="00ED666D" w:rsidP="00ED666D">
            <w:pPr>
              <w:pStyle w:val="NoSpacing"/>
              <w:rPr>
                <w:rFonts w:ascii="Arial" w:hAnsi="Arial" w:cs="Arial"/>
              </w:rPr>
            </w:pPr>
            <w:r w:rsidRPr="0001784B">
              <w:rPr>
                <w:rFonts w:ascii="Arial" w:hAnsi="Arial" w:cs="Arial"/>
              </w:rPr>
              <w:t>97.9% (April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666D" w:rsidRPr="001A49B5" w:rsidRDefault="00ED666D" w:rsidP="00ED666D">
            <w:pPr>
              <w:pStyle w:val="NoSpacing"/>
              <w:rPr>
                <w:rFonts w:ascii="Arial" w:hAnsi="Arial" w:cs="Arial"/>
              </w:rPr>
            </w:pPr>
            <w:r w:rsidRPr="001A49B5">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66D" w:rsidRPr="001A49B5" w:rsidRDefault="00ED666D" w:rsidP="00ED666D">
            <w:pPr>
              <w:pStyle w:val="NoSpacing"/>
              <w:rPr>
                <w:rFonts w:ascii="Arial" w:hAnsi="Arial" w:cs="Arial"/>
              </w:rPr>
            </w:pPr>
            <w:r w:rsidRPr="001A49B5">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D666D" w:rsidRPr="001A49B5" w:rsidRDefault="00ED666D" w:rsidP="00ED666D">
            <w:pPr>
              <w:pStyle w:val="NoSpacing"/>
              <w:rPr>
                <w:rFonts w:ascii="Arial" w:hAnsi="Arial" w:cs="Arial"/>
              </w:rPr>
            </w:pPr>
            <w:r w:rsidRPr="001A49B5">
              <w:rPr>
                <w:rFonts w:ascii="Arial" w:hAnsi="Arial" w:cs="Arial"/>
              </w:rPr>
              <w:t xml:space="preserve">97.9% </w:t>
            </w:r>
          </w:p>
          <w:p w:rsidR="00ED666D" w:rsidRPr="001A49B5" w:rsidRDefault="00ED666D" w:rsidP="00ED666D">
            <w:pPr>
              <w:pStyle w:val="NoSpacing"/>
              <w:rPr>
                <w:rFonts w:ascii="Arial" w:hAnsi="Arial" w:cs="Arial"/>
              </w:rPr>
            </w:pPr>
            <w:r w:rsidRPr="001A49B5">
              <w:rPr>
                <w:rFonts w:ascii="Arial" w:hAnsi="Arial" w:cs="Arial"/>
              </w:rPr>
              <w:t>(April 19)</w:t>
            </w:r>
          </w:p>
        </w:tc>
        <w:tc>
          <w:tcPr>
            <w:tcW w:w="1134" w:type="dxa"/>
            <w:tcBorders>
              <w:top w:val="single" w:sz="4" w:space="0" w:color="auto"/>
              <w:left w:val="single" w:sz="4" w:space="0" w:color="auto"/>
              <w:bottom w:val="single" w:sz="4" w:space="0" w:color="auto"/>
              <w:right w:val="single" w:sz="4" w:space="0" w:color="auto"/>
            </w:tcBorders>
          </w:tcPr>
          <w:p w:rsidR="00ED666D" w:rsidRPr="001A49B5" w:rsidRDefault="00F51064" w:rsidP="00F51064">
            <w:pPr>
              <w:pStyle w:val="NoSpacing"/>
              <w:rPr>
                <w:rFonts w:ascii="Arial" w:hAnsi="Arial" w:cs="Arial"/>
              </w:rPr>
            </w:pPr>
            <w:r>
              <w:rPr>
                <w:rFonts w:ascii="Arial" w:hAnsi="Arial" w:cs="Arial"/>
              </w:rPr>
              <w:t>Maintain Quartile 2</w:t>
            </w:r>
          </w:p>
        </w:tc>
      </w:tr>
      <w:tr w:rsidR="001A49B5" w:rsidRPr="001A49B5" w:rsidTr="00F51064">
        <w:trPr>
          <w:trHeight w:val="962"/>
          <w:jc w:val="center"/>
        </w:trPr>
        <w:tc>
          <w:tcPr>
            <w:tcW w:w="3397"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b/>
              </w:rPr>
            </w:pPr>
            <w:r w:rsidRPr="001A49B5">
              <w:rPr>
                <w:rFonts w:ascii="Arial" w:hAnsi="Arial" w:cs="Arial"/>
              </w:rPr>
              <w:t>Percentage secondary pupils offered one of top three preferences</w:t>
            </w:r>
          </w:p>
          <w:p w:rsidR="00ED666D" w:rsidRPr="001A49B5" w:rsidRDefault="00ED666D" w:rsidP="00ED666D">
            <w:pPr>
              <w:pStyle w:val="NoSpacing"/>
              <w:rPr>
                <w:rFonts w:ascii="Arial" w:hAnsi="Arial" w:cs="Arial"/>
                <w:i/>
              </w:rPr>
            </w:pPr>
          </w:p>
        </w:tc>
        <w:tc>
          <w:tcPr>
            <w:tcW w:w="1418"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rPr>
            </w:pPr>
            <w:r w:rsidRPr="001A49B5">
              <w:rPr>
                <w:rFonts w:ascii="Arial" w:hAnsi="Arial" w:cs="Arial"/>
              </w:rPr>
              <w:t>Annual</w:t>
            </w:r>
          </w:p>
        </w:tc>
        <w:tc>
          <w:tcPr>
            <w:tcW w:w="1559"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rPr>
            </w:pPr>
            <w:r w:rsidRPr="001A49B5">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ED666D" w:rsidRPr="001A49B5" w:rsidRDefault="00ED666D" w:rsidP="00ED666D">
            <w:pPr>
              <w:pStyle w:val="NoSpacing"/>
              <w:rPr>
                <w:rFonts w:ascii="Arial" w:hAnsi="Arial" w:cs="Arial"/>
              </w:rPr>
            </w:pPr>
            <w:r w:rsidRPr="001A49B5">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D666D" w:rsidRPr="0001784B" w:rsidRDefault="00ED666D" w:rsidP="00ED666D">
            <w:pPr>
              <w:pStyle w:val="NoSpacing"/>
              <w:rPr>
                <w:rFonts w:ascii="Arial" w:hAnsi="Arial" w:cs="Arial"/>
              </w:rPr>
            </w:pPr>
            <w:r w:rsidRPr="0001784B">
              <w:rPr>
                <w:rFonts w:ascii="Arial" w:hAnsi="Arial" w:cs="Arial"/>
              </w:rPr>
              <w:t>95.9% (March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D666D" w:rsidRPr="001A49B5" w:rsidRDefault="00ED666D" w:rsidP="00ED666D">
            <w:pPr>
              <w:pStyle w:val="NoSpacing"/>
              <w:rPr>
                <w:rFonts w:ascii="Arial" w:hAnsi="Arial" w:cs="Arial"/>
              </w:rPr>
            </w:pPr>
            <w:r w:rsidRPr="001A49B5">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66D" w:rsidRPr="001A49B5" w:rsidRDefault="00ED666D" w:rsidP="00ED666D">
            <w:pPr>
              <w:pStyle w:val="NoSpacing"/>
              <w:rPr>
                <w:rFonts w:ascii="Arial" w:hAnsi="Arial" w:cs="Arial"/>
              </w:rPr>
            </w:pPr>
            <w:r w:rsidRPr="001A49B5">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D666D" w:rsidRPr="001A49B5" w:rsidRDefault="00ED666D" w:rsidP="00ED666D">
            <w:pPr>
              <w:pStyle w:val="NoSpacing"/>
              <w:rPr>
                <w:rFonts w:ascii="Arial" w:hAnsi="Arial" w:cs="Arial"/>
              </w:rPr>
            </w:pPr>
            <w:r w:rsidRPr="001A49B5">
              <w:rPr>
                <w:rFonts w:ascii="Arial" w:hAnsi="Arial" w:cs="Arial"/>
              </w:rPr>
              <w:t xml:space="preserve">95.3% </w:t>
            </w:r>
          </w:p>
          <w:p w:rsidR="00ED666D" w:rsidRPr="001A49B5" w:rsidRDefault="00ED666D" w:rsidP="00ED666D">
            <w:pPr>
              <w:pStyle w:val="NoSpacing"/>
              <w:rPr>
                <w:rFonts w:ascii="Arial" w:hAnsi="Arial" w:cs="Arial"/>
              </w:rPr>
            </w:pPr>
            <w:r w:rsidRPr="001A49B5">
              <w:rPr>
                <w:rFonts w:ascii="Arial" w:hAnsi="Arial" w:cs="Arial"/>
              </w:rPr>
              <w:t>(March 19)</w:t>
            </w:r>
          </w:p>
        </w:tc>
        <w:tc>
          <w:tcPr>
            <w:tcW w:w="1134" w:type="dxa"/>
            <w:tcBorders>
              <w:top w:val="single" w:sz="4" w:space="0" w:color="auto"/>
              <w:left w:val="single" w:sz="4" w:space="0" w:color="auto"/>
              <w:bottom w:val="single" w:sz="4" w:space="0" w:color="auto"/>
              <w:right w:val="single" w:sz="4" w:space="0" w:color="auto"/>
            </w:tcBorders>
          </w:tcPr>
          <w:p w:rsidR="00ED666D" w:rsidRPr="001A49B5" w:rsidRDefault="00F51064" w:rsidP="00F51064">
            <w:pPr>
              <w:pStyle w:val="NoSpacing"/>
              <w:rPr>
                <w:rFonts w:ascii="Arial" w:hAnsi="Arial" w:cs="Arial"/>
              </w:rPr>
            </w:pPr>
            <w:r>
              <w:rPr>
                <w:rFonts w:ascii="Arial" w:hAnsi="Arial" w:cs="Arial"/>
              </w:rPr>
              <w:t>Maintain Quartile 2</w:t>
            </w:r>
            <w:r w:rsidR="00ED666D" w:rsidRPr="001A49B5">
              <w:rPr>
                <w:rFonts w:ascii="Arial" w:hAnsi="Arial" w:cs="Arial"/>
              </w:rPr>
              <w:t xml:space="preserve"> </w:t>
            </w:r>
          </w:p>
        </w:tc>
      </w:tr>
    </w:tbl>
    <w:p w:rsidR="00BD4E0A" w:rsidRPr="001A49B5" w:rsidRDefault="00BD4E0A" w:rsidP="006736B7">
      <w:pPr>
        <w:rPr>
          <w:rFonts w:cs="Arial"/>
          <w:color w:val="auto"/>
        </w:rPr>
      </w:pPr>
    </w:p>
    <w:p w:rsidR="005B4AFF" w:rsidRPr="00F24A95" w:rsidRDefault="00C558E7" w:rsidP="006736B7">
      <w:pPr>
        <w:rPr>
          <w:color w:val="auto"/>
          <w:sz w:val="22"/>
          <w:szCs w:val="22"/>
          <w:lang w:eastAsia="en-GB"/>
        </w:rPr>
      </w:pPr>
      <w:r w:rsidRPr="00C558E7">
        <w:rPr>
          <w:rFonts w:cs="Arial"/>
          <w:b/>
          <w:color w:val="auto"/>
          <w:sz w:val="22"/>
          <w:szCs w:val="22"/>
        </w:rPr>
        <w:t>School placements</w:t>
      </w:r>
      <w:r>
        <w:rPr>
          <w:rFonts w:cs="Arial"/>
          <w:color w:val="auto"/>
          <w:sz w:val="22"/>
          <w:szCs w:val="22"/>
        </w:rPr>
        <w:t xml:space="preserve">. </w:t>
      </w:r>
      <w:r w:rsidR="00570C7D">
        <w:rPr>
          <w:rFonts w:cs="Arial"/>
          <w:color w:val="auto"/>
          <w:sz w:val="22"/>
          <w:szCs w:val="22"/>
        </w:rPr>
        <w:t>The u</w:t>
      </w:r>
      <w:r w:rsidR="00BD4E0A" w:rsidRPr="00F24A95">
        <w:rPr>
          <w:rFonts w:cs="Arial"/>
          <w:color w:val="auto"/>
          <w:sz w:val="22"/>
          <w:szCs w:val="22"/>
        </w:rPr>
        <w:t xml:space="preserve">pdated </w:t>
      </w:r>
      <w:r w:rsidR="00F24A95" w:rsidRPr="00145B8D">
        <w:rPr>
          <w:rFonts w:cs="Arial"/>
          <w:color w:val="auto"/>
          <w:sz w:val="22"/>
          <w:szCs w:val="22"/>
        </w:rPr>
        <w:t>school placements</w:t>
      </w:r>
      <w:r w:rsidR="00F24A95">
        <w:rPr>
          <w:rFonts w:cs="Arial"/>
          <w:color w:val="auto"/>
          <w:sz w:val="22"/>
          <w:szCs w:val="22"/>
        </w:rPr>
        <w:t xml:space="preserve"> </w:t>
      </w:r>
      <w:r w:rsidR="00BD4E0A" w:rsidRPr="00F24A95">
        <w:rPr>
          <w:rFonts w:cs="Arial"/>
          <w:color w:val="auto"/>
          <w:sz w:val="22"/>
          <w:szCs w:val="22"/>
        </w:rPr>
        <w:t xml:space="preserve">data </w:t>
      </w:r>
      <w:r w:rsidR="00570C7D">
        <w:rPr>
          <w:rFonts w:cs="Arial"/>
          <w:color w:val="auto"/>
          <w:sz w:val="22"/>
          <w:szCs w:val="22"/>
        </w:rPr>
        <w:t xml:space="preserve">will be published </w:t>
      </w:r>
      <w:r w:rsidR="00F51064">
        <w:rPr>
          <w:rFonts w:cs="Arial"/>
          <w:color w:val="auto"/>
          <w:sz w:val="22"/>
          <w:szCs w:val="22"/>
        </w:rPr>
        <w:t>mid-</w:t>
      </w:r>
      <w:r w:rsidR="00F51064" w:rsidRPr="00F24A95">
        <w:rPr>
          <w:rFonts w:cs="Arial"/>
          <w:color w:val="auto"/>
          <w:sz w:val="22"/>
          <w:szCs w:val="22"/>
        </w:rPr>
        <w:t>2020</w:t>
      </w:r>
      <w:r w:rsidR="00570C7D">
        <w:rPr>
          <w:rFonts w:cs="Arial"/>
          <w:color w:val="auto"/>
          <w:sz w:val="22"/>
          <w:szCs w:val="22"/>
        </w:rPr>
        <w:t>.</w:t>
      </w:r>
    </w:p>
    <w:p w:rsidR="00F51064" w:rsidRDefault="00F51064" w:rsidP="00CA16D5">
      <w:pPr>
        <w:pStyle w:val="Heading2"/>
        <w:jc w:val="left"/>
      </w:pPr>
    </w:p>
    <w:p w:rsidR="006736B7" w:rsidRPr="00CA16D5" w:rsidRDefault="006736B7" w:rsidP="00CA16D5">
      <w:pPr>
        <w:pStyle w:val="Heading2"/>
        <w:jc w:val="left"/>
        <w:rPr>
          <w:i/>
          <w:color w:val="7030A0"/>
          <w:sz w:val="22"/>
        </w:rPr>
      </w:pPr>
      <w:r>
        <w:t>Lancashire will be the place to live</w:t>
      </w:r>
      <w:r>
        <w:tab/>
      </w:r>
      <w:r>
        <w:tab/>
      </w:r>
      <w:r>
        <w:tab/>
      </w:r>
      <w:r>
        <w:tab/>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417"/>
        <w:gridCol w:w="851"/>
        <w:gridCol w:w="1134"/>
        <w:gridCol w:w="1559"/>
        <w:gridCol w:w="1276"/>
        <w:gridCol w:w="1843"/>
        <w:gridCol w:w="1134"/>
      </w:tblGrid>
      <w:tr w:rsidR="00970DA7" w:rsidTr="00F51064">
        <w:trPr>
          <w:trHeight w:val="460"/>
        </w:trPr>
        <w:tc>
          <w:tcPr>
            <w:tcW w:w="3402" w:type="dxa"/>
            <w:tcBorders>
              <w:top w:val="single" w:sz="4" w:space="0" w:color="auto"/>
              <w:left w:val="single" w:sz="4" w:space="0" w:color="auto"/>
              <w:bottom w:val="single" w:sz="4" w:space="0" w:color="auto"/>
              <w:right w:val="single" w:sz="4" w:space="0" w:color="auto"/>
            </w:tcBorders>
            <w:hideMark/>
          </w:tcPr>
          <w:p w:rsidR="00970DA7" w:rsidRPr="00FA30B2" w:rsidRDefault="00970DA7">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970DA7" w:rsidRPr="00FA30B2" w:rsidRDefault="00970DA7">
            <w:pPr>
              <w:pStyle w:val="NoSpacing"/>
              <w:rPr>
                <w:rFonts w:ascii="Arial" w:hAnsi="Arial" w:cs="Arial"/>
                <w:b/>
              </w:rPr>
            </w:pPr>
            <w:r w:rsidRPr="00FA30B2">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970DA7" w:rsidRPr="00FA30B2" w:rsidRDefault="00970DA7">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970DA7" w:rsidRDefault="00970DA7">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970DA7" w:rsidRPr="00FA30B2" w:rsidRDefault="00970DA7">
            <w:pPr>
              <w:pStyle w:val="NoSpacing"/>
              <w:rPr>
                <w:rFonts w:ascii="Arial" w:hAnsi="Arial" w:cs="Arial"/>
                <w:b/>
              </w:rPr>
            </w:pPr>
            <w:r>
              <w:rPr>
                <w:rFonts w:ascii="Arial" w:hAnsi="Arial" w:cs="Arial"/>
                <w:b/>
              </w:rPr>
              <w:t>2018/19 Performance</w:t>
            </w:r>
          </w:p>
        </w:tc>
        <w:tc>
          <w:tcPr>
            <w:tcW w:w="1559" w:type="dxa"/>
            <w:tcBorders>
              <w:top w:val="single" w:sz="4" w:space="0" w:color="auto"/>
              <w:left w:val="single" w:sz="4" w:space="0" w:color="auto"/>
              <w:bottom w:val="single" w:sz="4" w:space="0" w:color="auto"/>
              <w:right w:val="single" w:sz="4" w:space="0" w:color="auto"/>
            </w:tcBorders>
          </w:tcPr>
          <w:p w:rsidR="00970DA7" w:rsidRPr="00FA30B2" w:rsidRDefault="00970DA7" w:rsidP="00970DA7">
            <w:pPr>
              <w:pStyle w:val="NoSpacing"/>
              <w:rPr>
                <w:rFonts w:ascii="Arial" w:hAnsi="Arial" w:cs="Arial"/>
                <w:b/>
              </w:rPr>
            </w:pPr>
            <w:r>
              <w:rPr>
                <w:rFonts w:ascii="Arial" w:hAnsi="Arial" w:cs="Arial"/>
                <w:b/>
              </w:rPr>
              <w:t xml:space="preserve">Q1 </w:t>
            </w:r>
          </w:p>
        </w:tc>
        <w:tc>
          <w:tcPr>
            <w:tcW w:w="1276" w:type="dxa"/>
            <w:tcBorders>
              <w:top w:val="single" w:sz="4" w:space="0" w:color="auto"/>
              <w:left w:val="single" w:sz="4" w:space="0" w:color="auto"/>
              <w:bottom w:val="single" w:sz="4" w:space="0" w:color="auto"/>
              <w:right w:val="single" w:sz="4" w:space="0" w:color="auto"/>
            </w:tcBorders>
          </w:tcPr>
          <w:p w:rsidR="00970DA7" w:rsidRPr="00FA30B2" w:rsidRDefault="00970DA7">
            <w:pPr>
              <w:pStyle w:val="NoSpacing"/>
              <w:rPr>
                <w:rFonts w:ascii="Arial" w:hAnsi="Arial" w:cs="Arial"/>
                <w:b/>
              </w:rPr>
            </w:pPr>
            <w:r>
              <w:rPr>
                <w:rFonts w:ascii="Arial" w:hAnsi="Arial" w:cs="Arial"/>
                <w:b/>
              </w:rPr>
              <w:t>Q2</w:t>
            </w:r>
          </w:p>
        </w:tc>
        <w:tc>
          <w:tcPr>
            <w:tcW w:w="1843" w:type="dxa"/>
            <w:tcBorders>
              <w:top w:val="single" w:sz="4" w:space="0" w:color="auto"/>
              <w:left w:val="single" w:sz="4" w:space="0" w:color="auto"/>
              <w:bottom w:val="single" w:sz="4" w:space="0" w:color="auto"/>
              <w:right w:val="single" w:sz="4" w:space="0" w:color="auto"/>
            </w:tcBorders>
          </w:tcPr>
          <w:p w:rsidR="00970DA7" w:rsidRPr="00FA30B2" w:rsidRDefault="00970DA7">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134" w:type="dxa"/>
            <w:tcBorders>
              <w:top w:val="single" w:sz="4" w:space="0" w:color="auto"/>
              <w:left w:val="single" w:sz="4" w:space="0" w:color="auto"/>
              <w:bottom w:val="single" w:sz="4" w:space="0" w:color="auto"/>
              <w:right w:val="single" w:sz="4" w:space="0" w:color="auto"/>
            </w:tcBorders>
          </w:tcPr>
          <w:p w:rsidR="00970DA7" w:rsidRPr="00FA30B2" w:rsidRDefault="00970DA7">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452236" w:rsidRPr="00FA30B2" w:rsidTr="00F51064">
        <w:trPr>
          <w:trHeight w:val="975"/>
        </w:trPr>
        <w:tc>
          <w:tcPr>
            <w:tcW w:w="3402" w:type="dxa"/>
            <w:tcBorders>
              <w:top w:val="single" w:sz="4" w:space="0" w:color="auto"/>
              <w:left w:val="single" w:sz="4" w:space="0" w:color="auto"/>
              <w:bottom w:val="single" w:sz="4" w:space="0" w:color="auto"/>
              <w:right w:val="single" w:sz="4" w:space="0" w:color="auto"/>
            </w:tcBorders>
            <w:hideMark/>
          </w:tcPr>
          <w:p w:rsidR="00452236" w:rsidRDefault="00F51064" w:rsidP="00452236">
            <w:pPr>
              <w:pStyle w:val="NoSpacing"/>
              <w:spacing w:line="252" w:lineRule="auto"/>
              <w:rPr>
                <w:rFonts w:eastAsiaTheme="minorHAnsi" w:cs="Arial"/>
              </w:rPr>
            </w:pPr>
            <w:r>
              <w:rPr>
                <w:rFonts w:ascii="Arial" w:hAnsi="Arial" w:cs="Arial"/>
              </w:rPr>
              <w:t>Percentage of health c</w:t>
            </w:r>
            <w:r w:rsidR="00452236">
              <w:rPr>
                <w:rFonts w:ascii="Arial" w:hAnsi="Arial" w:cs="Arial"/>
              </w:rPr>
              <w:t xml:space="preserve">hecks undertaken of quarterly target number offered </w:t>
            </w:r>
          </w:p>
          <w:p w:rsidR="00452236" w:rsidRPr="00FA30B2" w:rsidRDefault="00452236" w:rsidP="00452236">
            <w:pPr>
              <w:pStyle w:val="NoSpacing"/>
              <w:rPr>
                <w:rFonts w:ascii="Arial" w:hAnsi="Arial" w:cs="Arial"/>
                <w:i/>
              </w:rPr>
            </w:pPr>
          </w:p>
        </w:tc>
        <w:tc>
          <w:tcPr>
            <w:tcW w:w="1418" w:type="dxa"/>
            <w:tcBorders>
              <w:top w:val="single" w:sz="4" w:space="0" w:color="auto"/>
              <w:left w:val="single" w:sz="4" w:space="0" w:color="auto"/>
              <w:bottom w:val="single" w:sz="4" w:space="0" w:color="auto"/>
              <w:right w:val="single" w:sz="4" w:space="0" w:color="auto"/>
            </w:tcBorders>
            <w:hideMark/>
          </w:tcPr>
          <w:p w:rsidR="00452236" w:rsidRPr="00FA30B2" w:rsidRDefault="00452236" w:rsidP="00452236">
            <w:pPr>
              <w:pStyle w:val="NoSpacing"/>
              <w:rPr>
                <w:rFonts w:ascii="Arial" w:hAnsi="Arial" w:cs="Arial"/>
                <w:i/>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52236" w:rsidRDefault="00452236" w:rsidP="00452236">
            <w:pPr>
              <w:pStyle w:val="NoSpacing"/>
              <w:spacing w:line="252" w:lineRule="auto"/>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D970F9" w:rsidP="00452236">
            <w:pPr>
              <w:pStyle w:val="NoSpacing"/>
              <w:spacing w:line="252" w:lineRule="auto"/>
              <w:rPr>
                <w:rFonts w:ascii="Arial" w:hAnsi="Arial" w:cs="Arial"/>
              </w:rPr>
            </w:pPr>
            <w:r w:rsidRPr="00007585">
              <w:rPr>
                <w:rFonts w:ascii="Arial" w:hAnsi="Arial" w:cs="Arial"/>
              </w:rPr>
              <w:t xml:space="preserve">73.6% Uptake </w:t>
            </w:r>
            <w:r w:rsidRPr="00007585">
              <w:rPr>
                <w:rFonts w:ascii="Arial" w:hAnsi="Arial" w:cs="Arial"/>
                <w:sz w:val="20"/>
              </w:rPr>
              <w:t>(</w:t>
            </w:r>
            <w:r w:rsidR="00007585" w:rsidRPr="00007585">
              <w:rPr>
                <w:rFonts w:ascii="Arial" w:hAnsi="Arial" w:cs="Arial"/>
                <w:sz w:val="20"/>
              </w:rPr>
              <w:t xml:space="preserve">Full Year Position </w:t>
            </w:r>
            <w:r w:rsidRPr="00007585">
              <w:rPr>
                <w:rFonts w:ascii="Arial" w:hAnsi="Arial" w:cs="Arial"/>
                <w:sz w:val="20"/>
              </w:rPr>
              <w:t>52,226 of 70,987)</w:t>
            </w:r>
          </w:p>
          <w:p w:rsidR="00452236" w:rsidRPr="00007585" w:rsidRDefault="00452236" w:rsidP="00452236">
            <w:pPr>
              <w:pStyle w:val="NoSpacing"/>
              <w:spacing w:line="252"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spacing w:line="252" w:lineRule="auto"/>
              <w:rPr>
                <w:rFonts w:ascii="Arial" w:hAnsi="Arial" w:cs="Arial"/>
              </w:rPr>
            </w:pPr>
            <w:r w:rsidRPr="00007585">
              <w:rPr>
                <w:rFonts w:ascii="Arial" w:hAnsi="Arial" w:cs="Arial"/>
              </w:rPr>
              <w:t xml:space="preserve">82.1% Uptake </w:t>
            </w:r>
            <w:r w:rsidRPr="00007585">
              <w:rPr>
                <w:rFonts w:ascii="Arial" w:hAnsi="Arial" w:cs="Arial"/>
                <w:sz w:val="20"/>
              </w:rPr>
              <w:t>(14,462</w:t>
            </w:r>
            <w:r w:rsidR="00D970F9" w:rsidRPr="00007585">
              <w:rPr>
                <w:rFonts w:ascii="Arial" w:hAnsi="Arial" w:cs="Arial"/>
                <w:sz w:val="20"/>
              </w:rPr>
              <w:t xml:space="preserve"> </w:t>
            </w:r>
            <w:r w:rsidRPr="00007585">
              <w:rPr>
                <w:rFonts w:ascii="Arial" w:hAnsi="Arial" w:cs="Arial"/>
                <w:sz w:val="20"/>
              </w:rPr>
              <w:t>of 17,603)</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2236" w:rsidRPr="0075357F" w:rsidRDefault="00452236" w:rsidP="00452236">
            <w:pPr>
              <w:pStyle w:val="NoSpacing"/>
              <w:spacing w:line="252" w:lineRule="auto"/>
              <w:rPr>
                <w:rFonts w:ascii="Arial" w:hAnsi="Arial" w:cs="Arial"/>
                <w:sz w:val="20"/>
              </w:rPr>
            </w:pPr>
            <w:r w:rsidRPr="00007585">
              <w:rPr>
                <w:rFonts w:ascii="Arial" w:hAnsi="Arial" w:cs="Arial"/>
              </w:rPr>
              <w:t xml:space="preserve">66.9% Uptake </w:t>
            </w:r>
            <w:r w:rsidRPr="00007585">
              <w:rPr>
                <w:rFonts w:ascii="Arial" w:hAnsi="Arial" w:cs="Arial"/>
                <w:sz w:val="20"/>
              </w:rPr>
              <w:t>(11,780 of 17,603)</w:t>
            </w:r>
          </w:p>
          <w:p w:rsidR="00D970F9" w:rsidRPr="00007585" w:rsidRDefault="00D970F9" w:rsidP="0056032A">
            <w:pPr>
              <w:pStyle w:val="NoSpacing"/>
              <w:spacing w:line="252" w:lineRule="auto"/>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0E18E8" w:rsidRDefault="0075357F" w:rsidP="0075357F">
            <w:pPr>
              <w:pStyle w:val="NoSpacing"/>
              <w:spacing w:line="252" w:lineRule="auto"/>
              <w:rPr>
                <w:rFonts w:ascii="Arial" w:hAnsi="Arial" w:cs="Arial"/>
                <w:color w:val="FFFFFF" w:themeColor="background1"/>
              </w:rPr>
            </w:pPr>
            <w:r w:rsidRPr="00095911">
              <w:rPr>
                <w:rFonts w:ascii="Arial" w:hAnsi="Arial" w:cs="Arial"/>
                <w:color w:val="FFFFFF" w:themeColor="background1"/>
              </w:rPr>
              <w:t xml:space="preserve">60.2% </w:t>
            </w:r>
          </w:p>
          <w:p w:rsidR="0075357F" w:rsidRPr="00095911" w:rsidRDefault="0075357F" w:rsidP="0075357F">
            <w:pPr>
              <w:pStyle w:val="NoSpacing"/>
              <w:spacing w:line="252" w:lineRule="auto"/>
              <w:rPr>
                <w:rFonts w:ascii="Arial" w:hAnsi="Arial" w:cs="Arial"/>
                <w:color w:val="FFFFFF" w:themeColor="background1"/>
              </w:rPr>
            </w:pPr>
            <w:r w:rsidRPr="00095911">
              <w:rPr>
                <w:rFonts w:ascii="Arial" w:hAnsi="Arial" w:cs="Arial"/>
                <w:color w:val="FFFFFF" w:themeColor="background1"/>
              </w:rPr>
              <w:t xml:space="preserve">Uptake </w:t>
            </w:r>
            <w:r w:rsidRPr="00095911">
              <w:rPr>
                <w:rFonts w:ascii="Arial" w:hAnsi="Arial" w:cs="Arial"/>
                <w:color w:val="FFFFFF" w:themeColor="background1"/>
                <w:sz w:val="20"/>
              </w:rPr>
              <w:t>(10,603 of 17,603)</w:t>
            </w:r>
          </w:p>
          <w:p w:rsidR="00452236" w:rsidRPr="00095911" w:rsidRDefault="00452236" w:rsidP="00452236">
            <w:pPr>
              <w:pStyle w:val="NoSpacing"/>
              <w:rPr>
                <w:rFonts w:ascii="Arial" w:hAnsi="Arial" w:cs="Arial"/>
                <w:color w:val="FFFFFF" w:themeColor="background1"/>
              </w:rPr>
            </w:pPr>
          </w:p>
        </w:tc>
        <w:tc>
          <w:tcPr>
            <w:tcW w:w="1134" w:type="dxa"/>
            <w:tcBorders>
              <w:top w:val="single" w:sz="4" w:space="0" w:color="auto"/>
              <w:left w:val="single" w:sz="4" w:space="0" w:color="auto"/>
              <w:bottom w:val="single" w:sz="4" w:space="0" w:color="auto"/>
              <w:right w:val="single" w:sz="4" w:space="0" w:color="auto"/>
            </w:tcBorders>
          </w:tcPr>
          <w:p w:rsidR="00452236" w:rsidRPr="00B410C4" w:rsidRDefault="00452236" w:rsidP="00452236">
            <w:pPr>
              <w:pStyle w:val="NoSpacing"/>
              <w:rPr>
                <w:rFonts w:ascii="Arial" w:hAnsi="Arial" w:cs="Arial"/>
              </w:rPr>
            </w:pPr>
            <w:r w:rsidRPr="00B410C4">
              <w:rPr>
                <w:rFonts w:ascii="Arial" w:hAnsi="Arial" w:cs="Arial"/>
              </w:rPr>
              <w:t>75%</w:t>
            </w:r>
          </w:p>
        </w:tc>
      </w:tr>
      <w:tr w:rsidR="00452236" w:rsidRPr="00FA30B2" w:rsidTr="00F51064">
        <w:trPr>
          <w:trHeight w:val="1226"/>
        </w:trPr>
        <w:tc>
          <w:tcPr>
            <w:tcW w:w="3402" w:type="dxa"/>
            <w:tcBorders>
              <w:top w:val="single" w:sz="4" w:space="0" w:color="auto"/>
              <w:left w:val="single" w:sz="4" w:space="0" w:color="auto"/>
              <w:bottom w:val="single" w:sz="4" w:space="0" w:color="auto"/>
              <w:right w:val="single" w:sz="4" w:space="0" w:color="auto"/>
            </w:tcBorders>
          </w:tcPr>
          <w:p w:rsidR="00452236" w:rsidRDefault="00F51064" w:rsidP="00452236">
            <w:pPr>
              <w:pStyle w:val="NoSpacing"/>
              <w:spacing w:line="252" w:lineRule="auto"/>
              <w:rPr>
                <w:rFonts w:ascii="Arial" w:hAnsi="Arial" w:cs="Arial"/>
              </w:rPr>
            </w:pPr>
            <w:r>
              <w:rPr>
                <w:rFonts w:ascii="Arial" w:hAnsi="Arial" w:cs="Arial"/>
              </w:rPr>
              <w:t>Percentage of health checks undertaken of all o</w:t>
            </w:r>
            <w:r w:rsidR="00452236">
              <w:rPr>
                <w:rFonts w:ascii="Arial" w:hAnsi="Arial" w:cs="Arial"/>
              </w:rPr>
              <w:t>ffered (year to date)</w:t>
            </w:r>
          </w:p>
        </w:tc>
        <w:tc>
          <w:tcPr>
            <w:tcW w:w="1418"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52236" w:rsidRDefault="00452236" w:rsidP="00452236">
            <w:pPr>
              <w:pStyle w:val="NoSpacing"/>
              <w:spacing w:line="252" w:lineRule="auto"/>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spacing w:line="252" w:lineRule="auto"/>
              <w:rPr>
                <w:rFonts w:ascii="Arial" w:hAnsi="Arial" w:cs="Arial"/>
              </w:rPr>
            </w:pPr>
            <w:r w:rsidRPr="00007585">
              <w:rPr>
                <w:rFonts w:ascii="Arial" w:hAnsi="Arial" w:cs="Arial"/>
              </w:rPr>
              <w:t xml:space="preserve">50.1% Uptake </w:t>
            </w:r>
            <w:r w:rsidRPr="0075357F">
              <w:rPr>
                <w:rFonts w:ascii="Arial" w:hAnsi="Arial" w:cs="Arial"/>
                <w:sz w:val="20"/>
              </w:rPr>
              <w:t>(52,266 of 104,229)</w:t>
            </w:r>
          </w:p>
          <w:p w:rsidR="00452236" w:rsidRPr="00007585" w:rsidRDefault="00452236" w:rsidP="00452236">
            <w:pPr>
              <w:pStyle w:val="NoSpacing"/>
              <w:spacing w:line="252" w:lineRule="auto"/>
              <w:rPr>
                <w:rFonts w:ascii="Arial" w:hAnsi="Arial" w:cs="Arial"/>
              </w:rPr>
            </w:pPr>
          </w:p>
          <w:p w:rsidR="00452236" w:rsidRPr="00007585" w:rsidRDefault="00452236" w:rsidP="00794E18">
            <w:pPr>
              <w:pStyle w:val="NoSpacing"/>
              <w:spacing w:line="252"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452236" w:rsidRPr="009E6494" w:rsidRDefault="00452236" w:rsidP="00452236">
            <w:pPr>
              <w:pStyle w:val="NoSpacing"/>
              <w:spacing w:line="252" w:lineRule="auto"/>
              <w:rPr>
                <w:rFonts w:ascii="Arial" w:hAnsi="Arial" w:cs="Arial"/>
                <w:color w:val="FFFFFF" w:themeColor="background1"/>
              </w:rPr>
            </w:pPr>
            <w:r w:rsidRPr="009E6494">
              <w:rPr>
                <w:rFonts w:ascii="Arial" w:hAnsi="Arial" w:cs="Arial"/>
                <w:color w:val="FFFFFF" w:themeColor="background1"/>
              </w:rPr>
              <w:t xml:space="preserve">38.3% Uptake </w:t>
            </w:r>
            <w:r w:rsidRPr="0075357F">
              <w:rPr>
                <w:rFonts w:ascii="Arial" w:hAnsi="Arial" w:cs="Arial"/>
                <w:color w:val="FFFFFF" w:themeColor="background1"/>
                <w:sz w:val="20"/>
              </w:rPr>
              <w:t>(14,462 of 37,683)</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452236" w:rsidRPr="009E6494" w:rsidRDefault="00452236" w:rsidP="00452236">
            <w:pPr>
              <w:pStyle w:val="NoSpacing"/>
              <w:spacing w:line="252" w:lineRule="auto"/>
              <w:rPr>
                <w:rFonts w:ascii="Arial" w:hAnsi="Arial" w:cs="Arial"/>
                <w:color w:val="FFFFFF" w:themeColor="background1"/>
              </w:rPr>
            </w:pPr>
            <w:r w:rsidRPr="009E6494">
              <w:rPr>
                <w:rFonts w:ascii="Arial" w:hAnsi="Arial" w:cs="Arial"/>
                <w:color w:val="FFFFFF" w:themeColor="background1"/>
              </w:rPr>
              <w:t xml:space="preserve">37.2% Uptake </w:t>
            </w:r>
            <w:r w:rsidRPr="0075357F">
              <w:rPr>
                <w:rFonts w:ascii="Arial" w:hAnsi="Arial" w:cs="Arial"/>
                <w:color w:val="FFFFFF" w:themeColor="background1"/>
                <w:sz w:val="20"/>
              </w:rPr>
              <w:t>(26,242 of 70,603)</w:t>
            </w:r>
          </w:p>
          <w:p w:rsidR="00452236" w:rsidRPr="009E6494" w:rsidRDefault="00452236" w:rsidP="00452236">
            <w:pPr>
              <w:pStyle w:val="NoSpacing"/>
              <w:spacing w:line="252" w:lineRule="auto"/>
              <w:rPr>
                <w:rFonts w:ascii="Arial" w:hAnsi="Arial" w:cs="Arial"/>
                <w:color w:val="FFFFFF" w:themeColor="background1"/>
              </w:rPr>
            </w:pP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0E18E8" w:rsidRDefault="0075357F" w:rsidP="0075357F">
            <w:pPr>
              <w:pStyle w:val="NoSpacing"/>
              <w:spacing w:line="252" w:lineRule="auto"/>
              <w:rPr>
                <w:rFonts w:ascii="Arial" w:hAnsi="Arial" w:cs="Arial"/>
                <w:color w:val="FFFFFF" w:themeColor="background1"/>
              </w:rPr>
            </w:pPr>
            <w:r w:rsidRPr="00095911">
              <w:rPr>
                <w:rFonts w:ascii="Arial" w:hAnsi="Arial" w:cs="Arial"/>
                <w:color w:val="FFFFFF" w:themeColor="background1"/>
              </w:rPr>
              <w:t xml:space="preserve">38.5% </w:t>
            </w:r>
          </w:p>
          <w:p w:rsidR="0075357F" w:rsidRPr="00095911" w:rsidRDefault="0075357F" w:rsidP="0075357F">
            <w:pPr>
              <w:pStyle w:val="NoSpacing"/>
              <w:spacing w:line="252" w:lineRule="auto"/>
              <w:rPr>
                <w:rFonts w:ascii="Arial" w:hAnsi="Arial" w:cs="Arial"/>
                <w:color w:val="FFFFFF" w:themeColor="background1"/>
                <w:sz w:val="20"/>
              </w:rPr>
            </w:pPr>
            <w:r w:rsidRPr="00095911">
              <w:rPr>
                <w:rFonts w:ascii="Arial" w:hAnsi="Arial" w:cs="Arial"/>
                <w:color w:val="FFFFFF" w:themeColor="background1"/>
              </w:rPr>
              <w:t xml:space="preserve">Uptake </w:t>
            </w:r>
            <w:r w:rsidRPr="00095911">
              <w:rPr>
                <w:rFonts w:ascii="Arial" w:hAnsi="Arial" w:cs="Arial"/>
                <w:color w:val="FFFFFF" w:themeColor="background1"/>
                <w:sz w:val="20"/>
              </w:rPr>
              <w:t>(36,845 of 95,719)</w:t>
            </w:r>
          </w:p>
          <w:p w:rsidR="00452236" w:rsidRPr="00007585" w:rsidRDefault="00452236" w:rsidP="00452236">
            <w:pPr>
              <w:pStyle w:val="NoSpacing"/>
              <w:spacing w:line="252"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52236" w:rsidRPr="00B410C4" w:rsidRDefault="00452236" w:rsidP="00452236">
            <w:pPr>
              <w:pStyle w:val="NoSpacing"/>
              <w:rPr>
                <w:rFonts w:ascii="Arial" w:hAnsi="Arial" w:cs="Arial"/>
              </w:rPr>
            </w:pPr>
            <w:r w:rsidRPr="00B410C4">
              <w:rPr>
                <w:rFonts w:ascii="Arial" w:hAnsi="Arial" w:cs="Arial"/>
              </w:rPr>
              <w:t>58% uptake of all offered Health checks</w:t>
            </w:r>
          </w:p>
        </w:tc>
      </w:tr>
      <w:tr w:rsidR="006D2B1F" w:rsidRPr="00FA30B2" w:rsidTr="00F51064">
        <w:trPr>
          <w:trHeight w:val="699"/>
        </w:trPr>
        <w:tc>
          <w:tcPr>
            <w:tcW w:w="3402"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lastRenderedPageBreak/>
              <w:t>Performance Indicator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D2B1F" w:rsidRDefault="006D2B1F" w:rsidP="006D2B1F">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2018/19 Performance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 xml:space="preserve">Q1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Q2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452236" w:rsidRPr="00FA30B2" w:rsidTr="00F51064">
        <w:trPr>
          <w:trHeight w:val="1253"/>
        </w:trPr>
        <w:tc>
          <w:tcPr>
            <w:tcW w:w="3402" w:type="dxa"/>
            <w:tcBorders>
              <w:top w:val="single" w:sz="4" w:space="0" w:color="auto"/>
              <w:left w:val="single" w:sz="4" w:space="0" w:color="auto"/>
              <w:bottom w:val="single" w:sz="4" w:space="0" w:color="auto"/>
              <w:right w:val="single" w:sz="4" w:space="0" w:color="auto"/>
            </w:tcBorders>
            <w:hideMark/>
          </w:tcPr>
          <w:p w:rsidR="00452236" w:rsidRPr="00E34EF7" w:rsidRDefault="00452236" w:rsidP="00452236">
            <w:pPr>
              <w:pStyle w:val="NoSpacing"/>
              <w:rPr>
                <w:rFonts w:ascii="Arial" w:hAnsi="Arial" w:cs="Arial"/>
              </w:rPr>
            </w:pPr>
            <w:r w:rsidRPr="00FA30B2">
              <w:rPr>
                <w:rFonts w:ascii="Arial" w:hAnsi="Arial" w:cs="Arial"/>
              </w:rPr>
              <w:t xml:space="preserve">Percentage of adults and older people whose desired safeguarding outcomes are </w:t>
            </w:r>
            <w:r w:rsidR="00CF2155">
              <w:rPr>
                <w:rFonts w:ascii="Arial" w:hAnsi="Arial" w:cs="Arial"/>
              </w:rPr>
              <w:t xml:space="preserve">fully </w:t>
            </w:r>
            <w:r w:rsidRPr="00FA30B2">
              <w:rPr>
                <w:rFonts w:ascii="Arial" w:hAnsi="Arial" w:cs="Arial"/>
              </w:rPr>
              <w:t>met</w:t>
            </w:r>
          </w:p>
        </w:tc>
        <w:tc>
          <w:tcPr>
            <w:tcW w:w="1418" w:type="dxa"/>
            <w:tcBorders>
              <w:top w:val="single" w:sz="4" w:space="0" w:color="auto"/>
              <w:left w:val="single" w:sz="4" w:space="0" w:color="auto"/>
              <w:bottom w:val="single" w:sz="4" w:space="0" w:color="auto"/>
              <w:right w:val="single" w:sz="4" w:space="0" w:color="auto"/>
            </w:tcBorders>
            <w:hideMark/>
          </w:tcPr>
          <w:p w:rsidR="00452236" w:rsidRPr="00FA30B2" w:rsidRDefault="00452236" w:rsidP="00452236">
            <w:pPr>
              <w:pStyle w:val="NoSpacing"/>
              <w:rPr>
                <w:rFonts w:ascii="Arial" w:hAnsi="Arial" w:cs="Arial"/>
                <w:i/>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52236" w:rsidRPr="0080455B" w:rsidRDefault="00452236" w:rsidP="00452236">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66.6%</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2236" w:rsidRPr="00007585" w:rsidRDefault="00452236" w:rsidP="00452236">
            <w:pPr>
              <w:pStyle w:val="NoSpacing"/>
              <w:rPr>
                <w:rFonts w:ascii="Arial" w:hAnsi="Arial" w:cs="Arial"/>
              </w:rPr>
            </w:pPr>
            <w:r w:rsidRPr="00007585">
              <w:rPr>
                <w:rFonts w:ascii="Arial" w:hAnsi="Arial" w:cs="Arial"/>
              </w:rPr>
              <w:t>67.1%</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52236" w:rsidRPr="00007585" w:rsidRDefault="00452236" w:rsidP="00452236">
            <w:pPr>
              <w:pStyle w:val="NoSpacing"/>
              <w:rPr>
                <w:rFonts w:ascii="Arial" w:hAnsi="Arial" w:cs="Arial"/>
              </w:rPr>
            </w:pPr>
            <w:r w:rsidRPr="00007585">
              <w:rPr>
                <w:rFonts w:ascii="Arial" w:hAnsi="Arial" w:cs="Arial"/>
              </w:rPr>
              <w:t>66.8%</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452236" w:rsidRPr="009E6494" w:rsidRDefault="00452236" w:rsidP="00452236">
            <w:pPr>
              <w:pStyle w:val="NoSpacing"/>
              <w:rPr>
                <w:rFonts w:ascii="Arial" w:hAnsi="Arial" w:cs="Arial"/>
                <w:color w:val="FFFFFF" w:themeColor="background1"/>
              </w:rPr>
            </w:pPr>
            <w:r w:rsidRPr="009E6494">
              <w:rPr>
                <w:rFonts w:ascii="Arial" w:hAnsi="Arial" w:cs="Arial"/>
                <w:color w:val="FFFFFF" w:themeColor="background1"/>
              </w:rPr>
              <w:t xml:space="preserve">64.5% </w:t>
            </w:r>
          </w:p>
          <w:p w:rsidR="00452236" w:rsidRPr="009E6494" w:rsidRDefault="00452236" w:rsidP="00452236">
            <w:pPr>
              <w:pStyle w:val="NoSpacing"/>
              <w:rPr>
                <w:rFonts w:ascii="Arial" w:hAnsi="Arial" w:cs="Arial"/>
                <w:color w:val="FFFFFF" w:themeColor="background1"/>
              </w:rPr>
            </w:pPr>
          </w:p>
        </w:tc>
        <w:tc>
          <w:tcPr>
            <w:tcW w:w="1134" w:type="dxa"/>
            <w:tcBorders>
              <w:top w:val="single" w:sz="4" w:space="0" w:color="auto"/>
              <w:left w:val="single" w:sz="4" w:space="0" w:color="auto"/>
              <w:bottom w:val="single" w:sz="4" w:space="0" w:color="auto"/>
              <w:right w:val="single" w:sz="4" w:space="0" w:color="auto"/>
            </w:tcBorders>
          </w:tcPr>
          <w:p w:rsidR="00452236" w:rsidRPr="00B410C4" w:rsidRDefault="00452236" w:rsidP="00452236">
            <w:pPr>
              <w:pStyle w:val="NoSpacing"/>
              <w:rPr>
                <w:rFonts w:ascii="Arial" w:hAnsi="Arial" w:cs="Arial"/>
                <w:highlight w:val="green"/>
              </w:rPr>
            </w:pPr>
            <w:r w:rsidRPr="00B410C4">
              <w:rPr>
                <w:rFonts w:ascii="Arial" w:hAnsi="Arial" w:cs="Arial"/>
              </w:rPr>
              <w:t>70.3%</w:t>
            </w:r>
          </w:p>
        </w:tc>
      </w:tr>
      <w:tr w:rsidR="00452236" w:rsidRPr="00FA30B2" w:rsidTr="00F51064">
        <w:trPr>
          <w:trHeight w:val="1171"/>
        </w:trPr>
        <w:tc>
          <w:tcPr>
            <w:tcW w:w="3402"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 xml:space="preserve">Percentage of Care homes in Lancashire rated as Good or Outstanding – all Care Home provision </w:t>
            </w:r>
          </w:p>
          <w:p w:rsidR="00452236" w:rsidRPr="00FA30B2" w:rsidRDefault="00452236" w:rsidP="00452236">
            <w:pPr>
              <w:pStyle w:val="NoSpacing"/>
              <w:rPr>
                <w:rFonts w:ascii="Arial" w:hAnsi="Arial" w:cs="Arial"/>
              </w:rPr>
            </w:pPr>
            <w:r w:rsidRPr="00FA30B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52236" w:rsidRPr="0080455B" w:rsidRDefault="00452236" w:rsidP="00452236">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83.1%</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82.5%</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83.2%</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84.4%</w:t>
            </w:r>
          </w:p>
        </w:tc>
        <w:tc>
          <w:tcPr>
            <w:tcW w:w="1134" w:type="dxa"/>
            <w:tcBorders>
              <w:top w:val="single" w:sz="4" w:space="0" w:color="auto"/>
              <w:left w:val="single" w:sz="4" w:space="0" w:color="auto"/>
              <w:bottom w:val="single" w:sz="4" w:space="0" w:color="auto"/>
              <w:right w:val="single" w:sz="4" w:space="0" w:color="auto"/>
            </w:tcBorders>
          </w:tcPr>
          <w:p w:rsidR="00452236" w:rsidRPr="0080455B" w:rsidRDefault="00452236" w:rsidP="00452236">
            <w:pPr>
              <w:pStyle w:val="NoSpacing"/>
              <w:rPr>
                <w:rFonts w:ascii="Arial" w:hAnsi="Arial" w:cs="Arial"/>
              </w:rPr>
            </w:pPr>
            <w:r>
              <w:rPr>
                <w:rFonts w:ascii="Arial" w:hAnsi="Arial" w:cs="Arial"/>
              </w:rPr>
              <w:t>83.5%</w:t>
            </w:r>
          </w:p>
        </w:tc>
      </w:tr>
      <w:tr w:rsidR="00452236" w:rsidRPr="00FA30B2" w:rsidTr="00F51064">
        <w:trPr>
          <w:trHeight w:val="1483"/>
        </w:trPr>
        <w:tc>
          <w:tcPr>
            <w:tcW w:w="3402"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Percentage care providers in the community rated as Good or Outstanding - all Community Based provision</w:t>
            </w:r>
          </w:p>
          <w:p w:rsidR="00452236" w:rsidRPr="00FA30B2" w:rsidRDefault="00452236" w:rsidP="00007585">
            <w:pPr>
              <w:pStyle w:val="NoSpacing"/>
              <w:rPr>
                <w:rFonts w:ascii="Arial" w:hAnsi="Arial" w:cs="Arial"/>
              </w:rPr>
            </w:pPr>
            <w:r w:rsidRPr="00FA30B2">
              <w:rPr>
                <w:rFonts w:ascii="Arial" w:hAnsi="Arial" w:cs="Arial"/>
              </w:rPr>
              <w:t>(LCC and non-LCC maintained)</w:t>
            </w:r>
          </w:p>
        </w:tc>
        <w:tc>
          <w:tcPr>
            <w:tcW w:w="1418"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52236" w:rsidRPr="00FA30B2" w:rsidRDefault="00452236" w:rsidP="00452236">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1" w:type="dxa"/>
            <w:tcBorders>
              <w:top w:val="single" w:sz="4" w:space="0" w:color="auto"/>
              <w:left w:val="single" w:sz="4" w:space="0" w:color="auto"/>
              <w:bottom w:val="single" w:sz="4" w:space="0" w:color="auto"/>
              <w:right w:val="single" w:sz="4" w:space="0" w:color="auto"/>
            </w:tcBorders>
          </w:tcPr>
          <w:p w:rsidR="00452236" w:rsidRPr="0080455B" w:rsidRDefault="00452236" w:rsidP="00452236">
            <w:pPr>
              <w:pStyle w:val="NoSpacing"/>
              <w:rPr>
                <w:rFonts w:ascii="Arial" w:hAnsi="Arial" w:cs="Arial"/>
              </w:rPr>
            </w:pPr>
            <w:r>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94.5%</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95.9%</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95.6%</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52236" w:rsidRPr="00007585" w:rsidRDefault="00452236" w:rsidP="00452236">
            <w:pPr>
              <w:pStyle w:val="NoSpacing"/>
              <w:rPr>
                <w:rFonts w:ascii="Arial" w:hAnsi="Arial" w:cs="Arial"/>
              </w:rPr>
            </w:pPr>
            <w:r w:rsidRPr="00007585">
              <w:rPr>
                <w:rFonts w:ascii="Arial" w:hAnsi="Arial" w:cs="Arial"/>
              </w:rPr>
              <w:t>95.7%</w:t>
            </w:r>
          </w:p>
        </w:tc>
        <w:tc>
          <w:tcPr>
            <w:tcW w:w="1134" w:type="dxa"/>
            <w:tcBorders>
              <w:top w:val="single" w:sz="4" w:space="0" w:color="auto"/>
              <w:left w:val="single" w:sz="4" w:space="0" w:color="auto"/>
              <w:bottom w:val="single" w:sz="4" w:space="0" w:color="auto"/>
              <w:right w:val="single" w:sz="4" w:space="0" w:color="auto"/>
            </w:tcBorders>
          </w:tcPr>
          <w:p w:rsidR="00452236" w:rsidRDefault="00452236" w:rsidP="00452236">
            <w:pPr>
              <w:pStyle w:val="NoSpacing"/>
              <w:rPr>
                <w:rFonts w:ascii="Arial" w:hAnsi="Arial" w:cs="Arial"/>
              </w:rPr>
            </w:pPr>
            <w:r w:rsidRPr="0080455B">
              <w:rPr>
                <w:rFonts w:ascii="Arial" w:hAnsi="Arial" w:cs="Arial"/>
              </w:rPr>
              <w:t>96%</w:t>
            </w:r>
          </w:p>
        </w:tc>
      </w:tr>
    </w:tbl>
    <w:p w:rsidR="00BD4E0A" w:rsidRDefault="00BD4E0A" w:rsidP="00D85B53">
      <w:pPr>
        <w:rPr>
          <w:lang w:eastAsia="en-GB"/>
        </w:rPr>
      </w:pPr>
    </w:p>
    <w:p w:rsidR="00BD4E0A" w:rsidRPr="003E4409" w:rsidRDefault="00C558E7" w:rsidP="003E4409">
      <w:pPr>
        <w:rPr>
          <w:iCs/>
          <w:color w:val="auto"/>
          <w:sz w:val="22"/>
          <w:szCs w:val="22"/>
        </w:rPr>
      </w:pPr>
      <w:r w:rsidRPr="00C558E7">
        <w:rPr>
          <w:rFonts w:cs="Arial"/>
          <w:b/>
          <w:sz w:val="22"/>
          <w:szCs w:val="22"/>
        </w:rPr>
        <w:t>Health Checks</w:t>
      </w:r>
      <w:r>
        <w:rPr>
          <w:rFonts w:cs="Arial"/>
          <w:sz w:val="22"/>
          <w:szCs w:val="22"/>
        </w:rPr>
        <w:t xml:space="preserve">. </w:t>
      </w:r>
      <w:r w:rsidR="00077DB5">
        <w:rPr>
          <w:rFonts w:cs="Arial"/>
          <w:sz w:val="22"/>
          <w:szCs w:val="22"/>
        </w:rPr>
        <w:t>Over 60% of people offered health checks accepted one in the quarter (38.5% in the year to date)</w:t>
      </w:r>
      <w:r w:rsidR="003E4409">
        <w:rPr>
          <w:rFonts w:cs="Arial"/>
          <w:sz w:val="22"/>
          <w:szCs w:val="22"/>
        </w:rPr>
        <w:t xml:space="preserve"> which appears to be low performance. H</w:t>
      </w:r>
      <w:r w:rsidR="00077DB5">
        <w:rPr>
          <w:rFonts w:cs="Arial"/>
          <w:sz w:val="22"/>
          <w:szCs w:val="22"/>
        </w:rPr>
        <w:t>owever, this reflects the proactivity of public health</w:t>
      </w:r>
      <w:r w:rsidR="003E4409">
        <w:rPr>
          <w:rFonts w:cs="Arial"/>
          <w:sz w:val="22"/>
          <w:szCs w:val="22"/>
        </w:rPr>
        <w:t xml:space="preserve"> teams</w:t>
      </w:r>
      <w:r w:rsidR="00077DB5">
        <w:rPr>
          <w:rFonts w:cs="Arial"/>
          <w:sz w:val="22"/>
          <w:szCs w:val="22"/>
        </w:rPr>
        <w:t xml:space="preserve"> working with GP practices </w:t>
      </w:r>
      <w:r w:rsidR="003E4409">
        <w:rPr>
          <w:rFonts w:cs="Arial"/>
          <w:sz w:val="22"/>
          <w:szCs w:val="22"/>
        </w:rPr>
        <w:t>and</w:t>
      </w:r>
      <w:r w:rsidR="00077DB5">
        <w:rPr>
          <w:rFonts w:cs="Arial"/>
          <w:sz w:val="22"/>
          <w:szCs w:val="22"/>
        </w:rPr>
        <w:t xml:space="preserve"> issuing high</w:t>
      </w:r>
      <w:r w:rsidR="003E4409">
        <w:rPr>
          <w:rFonts w:cs="Arial"/>
          <w:sz w:val="22"/>
          <w:szCs w:val="22"/>
        </w:rPr>
        <w:t xml:space="preserve"> number of invitations in an attempt to ensure that everyone who is eligible is offered the opportunity to have a health check. </w:t>
      </w:r>
      <w:r w:rsidR="00CF2155" w:rsidRPr="003E4409">
        <w:rPr>
          <w:iCs/>
          <w:color w:val="auto"/>
          <w:sz w:val="22"/>
          <w:szCs w:val="22"/>
        </w:rPr>
        <w:t>Nationally, Lancashire stands 9</w:t>
      </w:r>
      <w:r w:rsidR="00CF2155" w:rsidRPr="003E4409">
        <w:rPr>
          <w:iCs/>
          <w:color w:val="auto"/>
          <w:sz w:val="22"/>
          <w:szCs w:val="22"/>
          <w:vertAlign w:val="superscript"/>
        </w:rPr>
        <w:t>th</w:t>
      </w:r>
      <w:r w:rsidR="00CF2155" w:rsidRPr="003E4409">
        <w:rPr>
          <w:iCs/>
          <w:color w:val="auto"/>
          <w:sz w:val="22"/>
          <w:szCs w:val="22"/>
        </w:rPr>
        <w:t xml:space="preserve"> overall out of 151 authorities for the number of health checks as a pe</w:t>
      </w:r>
      <w:r w:rsidR="003E4409">
        <w:rPr>
          <w:iCs/>
          <w:color w:val="auto"/>
          <w:sz w:val="22"/>
          <w:szCs w:val="22"/>
        </w:rPr>
        <w:t>rcentage of the eligible population and in 1st place for two</w:t>
      </w:r>
      <w:r w:rsidR="00CF2155" w:rsidRPr="003E4409">
        <w:rPr>
          <w:iCs/>
          <w:color w:val="auto"/>
          <w:sz w:val="22"/>
          <w:szCs w:val="22"/>
        </w:rPr>
        <w:t xml:space="preserve"> tier authorities on the same measure.</w:t>
      </w:r>
    </w:p>
    <w:p w:rsidR="00BD4E0A" w:rsidRDefault="00C558E7" w:rsidP="00C558E7">
      <w:pPr>
        <w:pStyle w:val="NoSpacing"/>
        <w:jc w:val="both"/>
        <w:rPr>
          <w:rFonts w:ascii="Arial" w:hAnsi="Arial" w:cs="Arial"/>
        </w:rPr>
      </w:pPr>
      <w:r>
        <w:rPr>
          <w:rFonts w:ascii="Arial" w:hAnsi="Arial" w:cs="Arial"/>
          <w:b/>
        </w:rPr>
        <w:t xml:space="preserve">Safeguarding outcomes.  </w:t>
      </w:r>
      <w:r>
        <w:rPr>
          <w:rFonts w:ascii="Arial" w:hAnsi="Arial" w:cs="Arial"/>
        </w:rPr>
        <w:t xml:space="preserve">There has been a slight decrease in the proportion of people whose safeguarding outcomes were fully met, however, this increases to 96.9% of safeguarding outcomes if partially achieved outcomes are also included.  </w:t>
      </w:r>
    </w:p>
    <w:p w:rsidR="00C558E7" w:rsidRDefault="00C558E7" w:rsidP="00C558E7">
      <w:pPr>
        <w:pStyle w:val="NoSpacing"/>
        <w:jc w:val="both"/>
        <w:rPr>
          <w:rFonts w:ascii="Arial" w:hAnsi="Arial" w:cs="Arial"/>
        </w:rPr>
      </w:pPr>
    </w:p>
    <w:p w:rsidR="00BD4E0A" w:rsidRDefault="00C558E7" w:rsidP="00F51064">
      <w:pPr>
        <w:pStyle w:val="NoSpacing"/>
        <w:jc w:val="both"/>
        <w:rPr>
          <w:rFonts w:ascii="Arial" w:hAnsi="Arial" w:cs="Arial"/>
        </w:rPr>
      </w:pPr>
      <w:r>
        <w:rPr>
          <w:rFonts w:ascii="Arial" w:hAnsi="Arial" w:cs="Arial"/>
          <w:b/>
        </w:rPr>
        <w:t xml:space="preserve">Quality of care homes.  </w:t>
      </w:r>
      <w:r>
        <w:rPr>
          <w:rFonts w:ascii="Arial" w:hAnsi="Arial" w:cs="Arial"/>
        </w:rPr>
        <w:t xml:space="preserve">The proportion of care homes </w:t>
      </w:r>
      <w:r w:rsidR="00A00251">
        <w:rPr>
          <w:rFonts w:ascii="Arial" w:hAnsi="Arial" w:cs="Arial"/>
        </w:rPr>
        <w:t xml:space="preserve">across Lancashire </w:t>
      </w:r>
      <w:r>
        <w:rPr>
          <w:rFonts w:ascii="Arial" w:hAnsi="Arial" w:cs="Arial"/>
        </w:rPr>
        <w:t>rated as good or outstanding continues to be better than national performance.</w:t>
      </w:r>
      <w:r w:rsidR="00BD4E0A">
        <w:rPr>
          <w:rFonts w:ascii="Arial" w:hAnsi="Arial" w:cs="Arial"/>
        </w:rPr>
        <w:t xml:space="preserve"> </w:t>
      </w:r>
      <w:r w:rsidR="00A00251">
        <w:rPr>
          <w:rFonts w:ascii="Arial" w:hAnsi="Arial" w:cs="Arial"/>
        </w:rPr>
        <w:t>Twenty one of the twenty five (84%)</w:t>
      </w:r>
      <w:r w:rsidR="00BD4E0A">
        <w:rPr>
          <w:rFonts w:ascii="Arial" w:hAnsi="Arial" w:cs="Arial"/>
        </w:rPr>
        <w:t xml:space="preserve"> L</w:t>
      </w:r>
      <w:r w:rsidR="00A00251">
        <w:rPr>
          <w:rFonts w:ascii="Arial" w:hAnsi="Arial" w:cs="Arial"/>
        </w:rPr>
        <w:t xml:space="preserve">ancashire </w:t>
      </w:r>
      <w:r w:rsidR="00BD4E0A">
        <w:rPr>
          <w:rFonts w:ascii="Arial" w:hAnsi="Arial" w:cs="Arial"/>
        </w:rPr>
        <w:t>C</w:t>
      </w:r>
      <w:r w:rsidR="00A00251">
        <w:rPr>
          <w:rFonts w:ascii="Arial" w:hAnsi="Arial" w:cs="Arial"/>
        </w:rPr>
        <w:t xml:space="preserve">ounty </w:t>
      </w:r>
      <w:r w:rsidR="00BD4E0A">
        <w:rPr>
          <w:rFonts w:ascii="Arial" w:hAnsi="Arial" w:cs="Arial"/>
        </w:rPr>
        <w:t>C</w:t>
      </w:r>
      <w:r w:rsidR="00A00251">
        <w:rPr>
          <w:rFonts w:ascii="Arial" w:hAnsi="Arial" w:cs="Arial"/>
        </w:rPr>
        <w:t>ouncil</w:t>
      </w:r>
      <w:r w:rsidR="00BD4E0A">
        <w:rPr>
          <w:rFonts w:ascii="Arial" w:hAnsi="Arial" w:cs="Arial"/>
        </w:rPr>
        <w:t xml:space="preserve"> maintained care homes </w:t>
      </w:r>
      <w:r w:rsidR="00A00251">
        <w:rPr>
          <w:rFonts w:ascii="Arial" w:hAnsi="Arial" w:cs="Arial"/>
        </w:rPr>
        <w:t xml:space="preserve">are </w:t>
      </w:r>
      <w:r w:rsidR="00BD4E0A">
        <w:rPr>
          <w:rFonts w:ascii="Arial" w:hAnsi="Arial" w:cs="Arial"/>
        </w:rPr>
        <w:t>ra</w:t>
      </w:r>
      <w:r w:rsidR="006D2B1F">
        <w:rPr>
          <w:rFonts w:ascii="Arial" w:hAnsi="Arial" w:cs="Arial"/>
        </w:rPr>
        <w:t>ted as 'Outstanding' or 'Good'.</w:t>
      </w:r>
    </w:p>
    <w:p w:rsidR="006D2B1F" w:rsidRPr="006D2B1F" w:rsidRDefault="006D2B1F" w:rsidP="00F51064">
      <w:pPr>
        <w:pStyle w:val="NoSpacing"/>
        <w:jc w:val="both"/>
        <w:rPr>
          <w:rFonts w:ascii="Arial" w:hAnsi="Arial" w:cs="Arial"/>
        </w:rPr>
      </w:pPr>
    </w:p>
    <w:p w:rsidR="00CA16D5" w:rsidRPr="006D2B1F" w:rsidRDefault="00C558E7" w:rsidP="00F51064">
      <w:pPr>
        <w:rPr>
          <w:sz w:val="22"/>
          <w:szCs w:val="22"/>
          <w:lang w:eastAsia="en-GB"/>
        </w:rPr>
      </w:pPr>
      <w:r>
        <w:rPr>
          <w:rFonts w:cs="Arial"/>
          <w:b/>
          <w:sz w:val="22"/>
          <w:szCs w:val="22"/>
        </w:rPr>
        <w:t>Quality of community service providers</w:t>
      </w:r>
      <w:r w:rsidR="00A00251">
        <w:rPr>
          <w:rFonts w:cs="Arial"/>
          <w:b/>
          <w:sz w:val="22"/>
          <w:szCs w:val="22"/>
        </w:rPr>
        <w:t>.</w:t>
      </w:r>
      <w:r w:rsidR="00A00251">
        <w:rPr>
          <w:rFonts w:cs="Arial"/>
          <w:sz w:val="22"/>
          <w:szCs w:val="22"/>
        </w:rPr>
        <w:t xml:space="preserve">  The proportion of community c</w:t>
      </w:r>
      <w:r w:rsidR="00BD4E0A" w:rsidRPr="0032288D">
        <w:rPr>
          <w:rFonts w:cs="Arial"/>
          <w:sz w:val="22"/>
          <w:szCs w:val="22"/>
        </w:rPr>
        <w:t>are providers</w:t>
      </w:r>
      <w:r w:rsidR="00A00251">
        <w:rPr>
          <w:rFonts w:cs="Arial"/>
          <w:sz w:val="22"/>
          <w:szCs w:val="22"/>
        </w:rPr>
        <w:t xml:space="preserve"> rated as good or outstanding across Lancashire</w:t>
      </w:r>
      <w:r w:rsidR="00BD4E0A" w:rsidRPr="0032288D">
        <w:rPr>
          <w:rFonts w:cs="Arial"/>
          <w:sz w:val="22"/>
          <w:szCs w:val="22"/>
        </w:rPr>
        <w:t xml:space="preserve"> </w:t>
      </w:r>
      <w:r w:rsidR="00A00251">
        <w:rPr>
          <w:rFonts w:cs="Arial"/>
          <w:sz w:val="22"/>
          <w:szCs w:val="22"/>
        </w:rPr>
        <w:t xml:space="preserve">remains better than </w:t>
      </w:r>
      <w:r w:rsidR="00BD4E0A" w:rsidRPr="0032288D">
        <w:rPr>
          <w:rFonts w:cs="Arial"/>
          <w:sz w:val="22"/>
          <w:szCs w:val="22"/>
        </w:rPr>
        <w:t>national performan</w:t>
      </w:r>
      <w:r w:rsidR="00A00251">
        <w:rPr>
          <w:rFonts w:cs="Arial"/>
          <w:sz w:val="22"/>
          <w:szCs w:val="22"/>
        </w:rPr>
        <w:t>ce.  All 9 (100%) of</w:t>
      </w:r>
      <w:r w:rsidR="00BD4E0A" w:rsidRPr="0032288D">
        <w:rPr>
          <w:rFonts w:cs="Arial"/>
          <w:sz w:val="22"/>
          <w:szCs w:val="22"/>
        </w:rPr>
        <w:t xml:space="preserve"> L</w:t>
      </w:r>
      <w:r w:rsidR="00A00251">
        <w:rPr>
          <w:rFonts w:cs="Arial"/>
          <w:sz w:val="22"/>
          <w:szCs w:val="22"/>
        </w:rPr>
        <w:t xml:space="preserve">ancashire </w:t>
      </w:r>
      <w:r w:rsidR="00BD4E0A" w:rsidRPr="0032288D">
        <w:rPr>
          <w:rFonts w:cs="Arial"/>
          <w:sz w:val="22"/>
          <w:szCs w:val="22"/>
        </w:rPr>
        <w:t>C</w:t>
      </w:r>
      <w:r w:rsidR="00A00251">
        <w:rPr>
          <w:rFonts w:cs="Arial"/>
          <w:sz w:val="22"/>
          <w:szCs w:val="22"/>
        </w:rPr>
        <w:t xml:space="preserve">ounty </w:t>
      </w:r>
      <w:r w:rsidR="00BD4E0A" w:rsidRPr="0032288D">
        <w:rPr>
          <w:rFonts w:cs="Arial"/>
          <w:sz w:val="22"/>
          <w:szCs w:val="22"/>
        </w:rPr>
        <w:t>C</w:t>
      </w:r>
      <w:r w:rsidR="00A00251">
        <w:rPr>
          <w:rFonts w:cs="Arial"/>
          <w:sz w:val="22"/>
          <w:szCs w:val="22"/>
        </w:rPr>
        <w:t>ouncil maintained community c</w:t>
      </w:r>
      <w:r w:rsidR="00BD4E0A" w:rsidRPr="0032288D">
        <w:rPr>
          <w:rFonts w:cs="Arial"/>
          <w:sz w:val="22"/>
          <w:szCs w:val="22"/>
        </w:rPr>
        <w:t xml:space="preserve">are providers </w:t>
      </w:r>
      <w:r w:rsidR="00A00251">
        <w:rPr>
          <w:rFonts w:cs="Arial"/>
          <w:sz w:val="22"/>
          <w:szCs w:val="22"/>
        </w:rPr>
        <w:t xml:space="preserve">are </w:t>
      </w:r>
      <w:r w:rsidR="00BD4E0A" w:rsidRPr="0032288D">
        <w:rPr>
          <w:rFonts w:cs="Arial"/>
          <w:sz w:val="22"/>
          <w:szCs w:val="22"/>
        </w:rPr>
        <w:t>rated as 'Outstanding' or 'Good'.</w:t>
      </w:r>
    </w:p>
    <w:p w:rsidR="00D85B53" w:rsidRDefault="00D85B53" w:rsidP="00D85B53">
      <w:pPr>
        <w:pStyle w:val="Heading2"/>
        <w:rPr>
          <w:szCs w:val="32"/>
        </w:rPr>
      </w:pPr>
      <w:r w:rsidRPr="0085231B">
        <w:rPr>
          <w:szCs w:val="32"/>
        </w:rPr>
        <w:lastRenderedPageBreak/>
        <w:t>Lancashire will be the place to work</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843"/>
        <w:gridCol w:w="1417"/>
        <w:gridCol w:w="1418"/>
        <w:gridCol w:w="1701"/>
        <w:gridCol w:w="1276"/>
      </w:tblGrid>
      <w:tr w:rsidR="00A766E4" w:rsidRPr="00FA30B2" w:rsidTr="00E34EF7">
        <w:trPr>
          <w:trHeight w:val="474"/>
          <w:jc w:val="center"/>
        </w:trPr>
        <w:tc>
          <w:tcPr>
            <w:tcW w:w="2405"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b/>
              </w:rPr>
            </w:pPr>
            <w:r w:rsidRPr="00FA30B2">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b/>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b/>
              </w:rPr>
            </w:pPr>
            <w:r>
              <w:rPr>
                <w:rFonts w:ascii="Arial" w:hAnsi="Arial" w:cs="Arial"/>
                <w:b/>
              </w:rPr>
              <w:t>Good is</w:t>
            </w:r>
          </w:p>
        </w:tc>
        <w:tc>
          <w:tcPr>
            <w:tcW w:w="1843"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27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A766E4" w:rsidRPr="006D1B9B" w:rsidTr="00E34EF7">
        <w:trPr>
          <w:trHeight w:val="1046"/>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Number of visits to libraries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A30B2" w:rsidRDefault="00A766E4" w:rsidP="00E34EF7">
            <w:pPr>
              <w:pStyle w:val="NoSpacing"/>
              <w:rPr>
                <w:rFonts w:ascii="Arial" w:hAnsi="Arial" w:cs="Arial"/>
              </w:rPr>
            </w:pPr>
            <w:r w:rsidRPr="00FA30B2">
              <w:rPr>
                <w:rFonts w:ascii="Arial" w:hAnsi="Arial" w:cs="Arial"/>
              </w:rPr>
              <w:t>3, 629,829 (2018/19)</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Default="00A766E4" w:rsidP="00E34EF7">
            <w:pPr>
              <w:pStyle w:val="NoSpacing"/>
              <w:rPr>
                <w:rFonts w:ascii="Arial" w:hAnsi="Arial" w:cs="Arial"/>
              </w:rPr>
            </w:pPr>
            <w:r>
              <w:rPr>
                <w:rFonts w:ascii="Arial" w:hAnsi="Arial" w:cs="Arial"/>
              </w:rPr>
              <w:t>872,939</w:t>
            </w:r>
          </w:p>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6D1B9B" w:rsidRDefault="00A766E4" w:rsidP="00E34EF7">
            <w:r>
              <w:rPr>
                <w:rFonts w:cs="Arial"/>
              </w:rPr>
              <w:t>924,365</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315598" w:rsidRDefault="00A766E4" w:rsidP="00E34EF7">
            <w:pPr>
              <w:rPr>
                <w:sz w:val="22"/>
                <w:szCs w:val="22"/>
              </w:rPr>
            </w:pPr>
            <w:r w:rsidRPr="00315598">
              <w:rPr>
                <w:sz w:val="22"/>
                <w:szCs w:val="22"/>
              </w:rPr>
              <w:t>841,582</w:t>
            </w:r>
          </w:p>
          <w:p w:rsidR="00A766E4" w:rsidRPr="00315598" w:rsidRDefault="00A766E4" w:rsidP="00E34EF7">
            <w:pPr>
              <w:rPr>
                <w:sz w:val="22"/>
                <w:szCs w:val="22"/>
              </w:rPr>
            </w:pPr>
            <w:r w:rsidRPr="00315598">
              <w:rPr>
                <w:sz w:val="22"/>
                <w:szCs w:val="22"/>
              </w:rPr>
              <w:t>Cumulative</w:t>
            </w:r>
          </w:p>
          <w:p w:rsidR="00A766E4" w:rsidRPr="00315598" w:rsidRDefault="00A766E4" w:rsidP="00E34EF7">
            <w:pPr>
              <w:rPr>
                <w:sz w:val="22"/>
                <w:szCs w:val="22"/>
              </w:rPr>
            </w:pPr>
            <w:r w:rsidRPr="00315598">
              <w:rPr>
                <w:sz w:val="22"/>
                <w:szCs w:val="22"/>
              </w:rPr>
              <w:t>2,638,886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315598" w:rsidRDefault="00A766E4" w:rsidP="00E34EF7">
            <w:pPr>
              <w:rPr>
                <w:sz w:val="22"/>
                <w:szCs w:val="22"/>
              </w:rPr>
            </w:pPr>
            <w:r w:rsidRPr="00315598">
              <w:rPr>
                <w:rFonts w:cs="Arial"/>
                <w:sz w:val="22"/>
                <w:szCs w:val="22"/>
              </w:rPr>
              <w:t>4,000,000</w:t>
            </w:r>
            <w:r w:rsidRPr="00315598">
              <w:rPr>
                <w:rFonts w:cs="Arial"/>
                <w:sz w:val="22"/>
                <w:szCs w:val="22"/>
              </w:rPr>
              <w:br/>
            </w:r>
          </w:p>
        </w:tc>
      </w:tr>
      <w:tr w:rsidR="00A766E4" w:rsidRPr="0061728D" w:rsidTr="00E34EF7">
        <w:trPr>
          <w:trHeight w:val="718"/>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Number of PNET sessions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A30B2" w:rsidRDefault="00A766E4" w:rsidP="00E34EF7">
            <w:pPr>
              <w:pStyle w:val="NoSpacing"/>
              <w:rPr>
                <w:rFonts w:ascii="Arial" w:hAnsi="Arial" w:cs="Arial"/>
              </w:rPr>
            </w:pPr>
            <w:r>
              <w:rPr>
                <w:rFonts w:ascii="Arial" w:hAnsi="Arial" w:cs="Arial"/>
              </w:rPr>
              <w:t>564,</w:t>
            </w:r>
            <w:r w:rsidRPr="00FA30B2">
              <w:rPr>
                <w:rFonts w:ascii="Arial" w:hAnsi="Arial" w:cs="Arial"/>
              </w:rPr>
              <w:t>130 (2018/19)</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A30B2" w:rsidRDefault="00A766E4" w:rsidP="00E34EF7">
            <w:pPr>
              <w:pStyle w:val="NoSpacing"/>
              <w:rPr>
                <w:rFonts w:ascii="Arial" w:hAnsi="Arial" w:cs="Arial"/>
              </w:rPr>
            </w:pPr>
            <w:r>
              <w:rPr>
                <w:rFonts w:ascii="Arial" w:hAnsi="Arial" w:cs="Arial"/>
              </w:rPr>
              <w:t>129,920</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4C69C0" w:rsidRDefault="00A766E4" w:rsidP="00E34EF7">
            <w:pPr>
              <w:pStyle w:val="NoSpacing"/>
              <w:rPr>
                <w:rFonts w:ascii="Arial" w:hAnsi="Arial" w:cs="Arial"/>
                <w:highlight w:val="yellow"/>
              </w:rPr>
            </w:pPr>
            <w:r>
              <w:rPr>
                <w:rFonts w:ascii="Arial" w:hAnsi="Arial" w:cs="Arial"/>
              </w:rPr>
              <w:t>136,781</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315598" w:rsidRDefault="00A766E4" w:rsidP="00E34EF7">
            <w:pPr>
              <w:pStyle w:val="NoSpacing"/>
            </w:pPr>
            <w:r w:rsidRPr="00315598">
              <w:rPr>
                <w:rFonts w:ascii="Arial" w:hAnsi="Arial" w:cs="Arial"/>
              </w:rPr>
              <w:t>122,650</w:t>
            </w:r>
          </w:p>
          <w:p w:rsidR="00A766E4" w:rsidRPr="00315598" w:rsidRDefault="00A766E4" w:rsidP="00E34EF7">
            <w:pPr>
              <w:rPr>
                <w:sz w:val="22"/>
                <w:szCs w:val="22"/>
              </w:rPr>
            </w:pPr>
            <w:r w:rsidRPr="00315598">
              <w:rPr>
                <w:sz w:val="22"/>
                <w:szCs w:val="22"/>
              </w:rPr>
              <w:t>Cumulative</w:t>
            </w:r>
          </w:p>
          <w:p w:rsidR="00A766E4" w:rsidRPr="00315598" w:rsidRDefault="00A766E4" w:rsidP="00E34EF7">
            <w:pPr>
              <w:pStyle w:val="NoSpacing"/>
              <w:rPr>
                <w:rFonts w:ascii="Arial" w:hAnsi="Arial" w:cs="Arial"/>
              </w:rPr>
            </w:pPr>
            <w:r w:rsidRPr="00315598">
              <w:rPr>
                <w:rFonts w:ascii="Arial" w:hAnsi="Arial" w:cs="Arial"/>
              </w:rPr>
              <w:t>389,351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315598" w:rsidRDefault="00A766E4" w:rsidP="00E34EF7">
            <w:pPr>
              <w:pStyle w:val="NoSpacing"/>
              <w:rPr>
                <w:rFonts w:ascii="Arial" w:hAnsi="Arial" w:cs="Arial"/>
              </w:rPr>
            </w:pPr>
            <w:r w:rsidRPr="00315598">
              <w:rPr>
                <w:rFonts w:ascii="Arial" w:hAnsi="Arial" w:cs="Arial"/>
              </w:rPr>
              <w:t>621,000</w:t>
            </w:r>
            <w:r w:rsidRPr="00315598">
              <w:rPr>
                <w:rFonts w:ascii="Arial" w:hAnsi="Arial" w:cs="Arial"/>
              </w:rPr>
              <w:br/>
            </w:r>
          </w:p>
          <w:p w:rsidR="00A766E4" w:rsidRPr="00315598" w:rsidRDefault="00A766E4" w:rsidP="00E34EF7">
            <w:pPr>
              <w:pStyle w:val="NoSpacing"/>
              <w:rPr>
                <w:rFonts w:ascii="Arial" w:hAnsi="Arial" w:cs="Arial"/>
              </w:rPr>
            </w:pPr>
          </w:p>
        </w:tc>
      </w:tr>
      <w:tr w:rsidR="00A766E4" w:rsidRPr="0080455B" w:rsidTr="00E34EF7">
        <w:trPr>
          <w:trHeight w:val="718"/>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Number of library events organised and attendance</w:t>
            </w:r>
            <w:r>
              <w:rPr>
                <w:rFonts w:ascii="Arial" w:hAnsi="Arial" w:cs="Arial"/>
              </w:rPr>
              <w:t xml:space="preserve">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A30B2" w:rsidRDefault="00A766E4" w:rsidP="00E34EF7">
            <w:pPr>
              <w:pStyle w:val="NoSpacing"/>
              <w:rPr>
                <w:rFonts w:ascii="Arial" w:hAnsi="Arial" w:cs="Arial"/>
              </w:rPr>
            </w:pPr>
            <w:r w:rsidRPr="00FA30B2">
              <w:rPr>
                <w:rFonts w:ascii="Arial" w:hAnsi="Arial" w:cs="Arial"/>
              </w:rPr>
              <w:t>6,888 (2018/19)</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Default="00A766E4" w:rsidP="00E34EF7">
            <w:pPr>
              <w:pStyle w:val="NoSpacing"/>
              <w:rPr>
                <w:rFonts w:ascii="Arial" w:hAnsi="Arial" w:cs="Arial"/>
              </w:rPr>
            </w:pPr>
            <w:r>
              <w:rPr>
                <w:rFonts w:ascii="Arial" w:hAnsi="Arial" w:cs="Arial"/>
              </w:rPr>
              <w:t>2,070</w:t>
            </w:r>
          </w:p>
          <w:p w:rsidR="00A766E4" w:rsidRPr="00FA30B2" w:rsidRDefault="00A766E4" w:rsidP="00E34EF7">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4C69C0" w:rsidRDefault="00A766E4" w:rsidP="00E34EF7">
            <w:pPr>
              <w:pStyle w:val="NoSpacing"/>
              <w:rPr>
                <w:rFonts w:ascii="Arial" w:hAnsi="Arial" w:cs="Arial"/>
                <w:highlight w:val="green"/>
              </w:rPr>
            </w:pPr>
            <w:r>
              <w:rPr>
                <w:rFonts w:ascii="Arial" w:hAnsi="Arial" w:cs="Arial"/>
              </w:rPr>
              <w:t>2066</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315598" w:rsidRDefault="00A766E4" w:rsidP="00E34EF7">
            <w:pPr>
              <w:pStyle w:val="NoSpacing"/>
              <w:rPr>
                <w:rFonts w:ascii="Arial" w:hAnsi="Arial" w:cs="Arial"/>
              </w:rPr>
            </w:pPr>
            <w:r w:rsidRPr="00315598">
              <w:rPr>
                <w:rFonts w:ascii="Arial" w:hAnsi="Arial" w:cs="Arial"/>
              </w:rPr>
              <w:t>2,058</w:t>
            </w:r>
          </w:p>
          <w:p w:rsidR="00A766E4" w:rsidRPr="00315598" w:rsidRDefault="00A766E4" w:rsidP="00E34EF7">
            <w:pPr>
              <w:rPr>
                <w:sz w:val="22"/>
                <w:szCs w:val="22"/>
              </w:rPr>
            </w:pPr>
            <w:r w:rsidRPr="00315598">
              <w:rPr>
                <w:sz w:val="22"/>
                <w:szCs w:val="22"/>
              </w:rPr>
              <w:t>Cumulative</w:t>
            </w:r>
          </w:p>
          <w:p w:rsidR="00A766E4" w:rsidRPr="00315598" w:rsidRDefault="00A766E4" w:rsidP="00E34EF7">
            <w:pPr>
              <w:pStyle w:val="NoSpacing"/>
              <w:rPr>
                <w:rFonts w:ascii="Arial" w:hAnsi="Arial" w:cs="Arial"/>
              </w:rPr>
            </w:pPr>
            <w:r w:rsidRPr="00315598">
              <w:rPr>
                <w:rFonts w:ascii="Arial" w:hAnsi="Arial" w:cs="Arial"/>
              </w:rPr>
              <w:t>6,194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315598" w:rsidRDefault="00A766E4" w:rsidP="00E34EF7">
            <w:pPr>
              <w:pStyle w:val="NoSpacing"/>
              <w:rPr>
                <w:rFonts w:ascii="Arial" w:hAnsi="Arial" w:cs="Arial"/>
              </w:rPr>
            </w:pPr>
            <w:r w:rsidRPr="00315598">
              <w:rPr>
                <w:rFonts w:ascii="Arial" w:hAnsi="Arial" w:cs="Arial"/>
              </w:rPr>
              <w:t>8,400</w:t>
            </w:r>
            <w:r w:rsidRPr="00315598">
              <w:rPr>
                <w:rFonts w:ascii="Arial" w:hAnsi="Arial" w:cs="Arial"/>
              </w:rPr>
              <w:br/>
            </w:r>
          </w:p>
          <w:p w:rsidR="00A766E4" w:rsidRPr="00315598" w:rsidRDefault="00A766E4" w:rsidP="00E34EF7">
            <w:pPr>
              <w:pStyle w:val="NoSpacing"/>
              <w:rPr>
                <w:rFonts w:ascii="Arial" w:hAnsi="Arial" w:cs="Arial"/>
              </w:rPr>
            </w:pPr>
          </w:p>
          <w:p w:rsidR="00A766E4" w:rsidRPr="00315598" w:rsidRDefault="00A766E4" w:rsidP="00E34EF7">
            <w:pPr>
              <w:pStyle w:val="NoSpacing"/>
              <w:rPr>
                <w:rFonts w:ascii="Arial" w:hAnsi="Arial" w:cs="Arial"/>
              </w:rPr>
            </w:pPr>
          </w:p>
        </w:tc>
      </w:tr>
      <w:tr w:rsidR="00A766E4" w:rsidRPr="0061728D" w:rsidTr="00E34EF7">
        <w:trPr>
          <w:trHeight w:val="1125"/>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Number of e-</w:t>
            </w:r>
            <w:r w:rsidRPr="00FA30B2">
              <w:rPr>
                <w:rFonts w:ascii="Arial" w:hAnsi="Arial" w:cs="Arial"/>
              </w:rPr>
              <w:t>downloads</w:t>
            </w:r>
            <w:r>
              <w:rPr>
                <w:rFonts w:ascii="Arial" w:hAnsi="Arial" w:cs="Arial"/>
              </w:rPr>
              <w:t>(annual cumulative indicator)</w:t>
            </w:r>
            <w:r>
              <w:rPr>
                <w:rFonts w:ascii="Arial" w:hAnsi="Arial" w:cs="Arial"/>
              </w:rPr>
              <w:br/>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Education and Children's Services</w:t>
            </w:r>
            <w:r w:rsidRPr="00FA30B2">
              <w:rPr>
                <w:rFonts w:ascii="Arial" w:hAnsi="Arial" w:cs="Arial"/>
              </w:rPr>
              <w:t xml:space="preserve"> </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Default="00A766E4" w:rsidP="00E34EF7">
            <w:pPr>
              <w:pStyle w:val="NoSpacing"/>
              <w:rPr>
                <w:rFonts w:ascii="Arial" w:hAnsi="Arial" w:cs="Arial"/>
              </w:rPr>
            </w:pPr>
            <w:r w:rsidRPr="00FA30B2">
              <w:rPr>
                <w:rFonts w:ascii="Arial" w:hAnsi="Arial" w:cs="Arial"/>
              </w:rPr>
              <w:t xml:space="preserve">255,572 </w:t>
            </w:r>
          </w:p>
          <w:p w:rsidR="00A766E4" w:rsidRDefault="00A766E4" w:rsidP="00E34EF7">
            <w:pPr>
              <w:pStyle w:val="NoSpacing"/>
              <w:rPr>
                <w:rFonts w:ascii="Arial" w:hAnsi="Arial" w:cs="Arial"/>
              </w:rPr>
            </w:pPr>
            <w:r>
              <w:rPr>
                <w:rFonts w:ascii="Arial" w:hAnsi="Arial" w:cs="Arial"/>
              </w:rPr>
              <w:t>e-books &amp; audio only</w:t>
            </w:r>
          </w:p>
          <w:p w:rsidR="00A766E4" w:rsidRPr="00FA30B2" w:rsidRDefault="00A766E4" w:rsidP="00E34EF7">
            <w:pPr>
              <w:pStyle w:val="NoSpacing"/>
              <w:rPr>
                <w:rFonts w:ascii="Arial" w:hAnsi="Arial" w:cs="Arial"/>
              </w:rPr>
            </w:pPr>
            <w:r w:rsidRPr="00FA30B2">
              <w:rPr>
                <w:rFonts w:ascii="Arial" w:hAnsi="Arial" w:cs="Arial"/>
              </w:rPr>
              <w:t>(2018/19)</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Default="00A766E4" w:rsidP="00E34EF7">
            <w:pPr>
              <w:pStyle w:val="NoSpacing"/>
              <w:rPr>
                <w:rFonts w:ascii="Arial" w:hAnsi="Arial" w:cs="Arial"/>
              </w:rPr>
            </w:pPr>
            <w:r>
              <w:rPr>
                <w:rFonts w:ascii="Arial" w:hAnsi="Arial" w:cs="Arial"/>
              </w:rPr>
              <w:t>72,229</w:t>
            </w:r>
          </w:p>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61728D" w:rsidRDefault="00A766E4" w:rsidP="00E34EF7">
            <w:pPr>
              <w:pStyle w:val="NoSpacing"/>
              <w:rPr>
                <w:rFonts w:ascii="Arial" w:hAnsi="Arial" w:cs="Arial"/>
              </w:rPr>
            </w:pPr>
            <w:r>
              <w:rPr>
                <w:rFonts w:ascii="Arial" w:hAnsi="Arial" w:cs="Arial"/>
              </w:rPr>
              <w:t>86,273</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Default="00A766E4" w:rsidP="00E34EF7">
            <w:pPr>
              <w:pStyle w:val="NoSpacing"/>
              <w:rPr>
                <w:rFonts w:ascii="Arial" w:hAnsi="Arial" w:cs="Arial"/>
              </w:rPr>
            </w:pPr>
            <w:r w:rsidRPr="009A49E9">
              <w:rPr>
                <w:rFonts w:ascii="Arial" w:hAnsi="Arial" w:cs="Arial"/>
              </w:rPr>
              <w:t>89,015</w:t>
            </w:r>
          </w:p>
          <w:p w:rsidR="00A766E4" w:rsidRDefault="00A766E4" w:rsidP="00E34EF7">
            <w:r>
              <w:t>Cumulative</w:t>
            </w:r>
          </w:p>
          <w:p w:rsidR="00A766E4" w:rsidRDefault="00A766E4" w:rsidP="00E34EF7">
            <w:pPr>
              <w:pStyle w:val="NoSpacing"/>
              <w:rPr>
                <w:rFonts w:ascii="Arial" w:hAnsi="Arial" w:cs="Arial"/>
              </w:rPr>
            </w:pPr>
            <w:r>
              <w:rPr>
                <w:rFonts w:ascii="Arial" w:hAnsi="Arial" w:cs="Arial"/>
              </w:rPr>
              <w:t>247,517</w:t>
            </w:r>
          </w:p>
          <w:p w:rsidR="00A766E4" w:rsidRPr="009A49E9" w:rsidRDefault="00A766E4" w:rsidP="00E34EF7">
            <w:pPr>
              <w:pStyle w:val="No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61728D" w:rsidRDefault="00A766E4" w:rsidP="00E34EF7">
            <w:pPr>
              <w:pStyle w:val="NoSpacing"/>
              <w:rPr>
                <w:rFonts w:ascii="Arial" w:hAnsi="Arial" w:cs="Arial"/>
              </w:rPr>
            </w:pPr>
            <w:r w:rsidRPr="0061728D">
              <w:rPr>
                <w:rFonts w:ascii="Arial" w:hAnsi="Arial" w:cs="Arial"/>
              </w:rPr>
              <w:t>293,908</w:t>
            </w:r>
          </w:p>
          <w:p w:rsidR="00A766E4" w:rsidRPr="0061728D" w:rsidRDefault="00A766E4" w:rsidP="00E34EF7">
            <w:pPr>
              <w:pStyle w:val="NoSpacing"/>
              <w:rPr>
                <w:rFonts w:ascii="Arial" w:hAnsi="Arial" w:cs="Arial"/>
              </w:rPr>
            </w:pPr>
          </w:p>
        </w:tc>
      </w:tr>
      <w:tr w:rsidR="00A766E4" w:rsidRPr="00F23C1E" w:rsidTr="00E34EF7">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r w:rsidRPr="00FA30B2">
              <w:rPr>
                <w:rFonts w:ascii="Arial" w:hAnsi="Arial" w:cs="Arial"/>
              </w:rPr>
              <w:t>Number of volunteers in Libraries</w:t>
            </w:r>
            <w:r>
              <w:rPr>
                <w:rFonts w:ascii="Arial" w:hAnsi="Arial" w:cs="Arial"/>
              </w:rPr>
              <w:t xml:space="preserve"> (annual cumulative indicator)</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23C1E" w:rsidRDefault="00A766E4" w:rsidP="00E34EF7">
            <w:pPr>
              <w:pStyle w:val="NoSpacing"/>
              <w:rPr>
                <w:rFonts w:ascii="Arial" w:hAnsi="Arial" w:cs="Arial"/>
              </w:rPr>
            </w:pPr>
            <w:r w:rsidRPr="00F23C1E">
              <w:rPr>
                <w:rFonts w:ascii="Arial" w:hAnsi="Arial" w:cs="Arial"/>
              </w:rPr>
              <w:t>471 (2018/19)</w:t>
            </w:r>
          </w:p>
          <w:p w:rsidR="00A766E4" w:rsidRPr="00F23C1E" w:rsidRDefault="00A766E4" w:rsidP="00E34EF7">
            <w:pPr>
              <w:pStyle w:val="No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23C1E" w:rsidRDefault="00A766E4" w:rsidP="00E34EF7">
            <w:pPr>
              <w:pStyle w:val="NoSpacing"/>
              <w:rPr>
                <w:rFonts w:ascii="Arial" w:hAnsi="Arial" w:cs="Arial"/>
              </w:rPr>
            </w:pPr>
            <w:r w:rsidRPr="00F23C1E">
              <w:rPr>
                <w:rFonts w:ascii="Arial" w:hAnsi="Arial" w:cs="Arial"/>
              </w:rPr>
              <w:t>420</w:t>
            </w:r>
          </w:p>
          <w:p w:rsidR="00A766E4" w:rsidRPr="00F23C1E" w:rsidRDefault="00A766E4" w:rsidP="00E34EF7">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23C1E" w:rsidRDefault="00A766E4" w:rsidP="00E34EF7">
            <w:pPr>
              <w:rPr>
                <w:sz w:val="22"/>
                <w:szCs w:val="22"/>
              </w:rPr>
            </w:pPr>
            <w:r w:rsidRPr="00F23C1E">
              <w:rPr>
                <w:sz w:val="22"/>
                <w:szCs w:val="22"/>
              </w:rPr>
              <w:t>Cumulative</w:t>
            </w:r>
          </w:p>
          <w:p w:rsidR="00A766E4" w:rsidRPr="00F23C1E" w:rsidRDefault="00A766E4" w:rsidP="00E34EF7">
            <w:pPr>
              <w:pStyle w:val="NoSpacing"/>
              <w:rPr>
                <w:rFonts w:ascii="Arial" w:hAnsi="Arial" w:cs="Arial"/>
              </w:rPr>
            </w:pPr>
            <w:r w:rsidRPr="00F23C1E">
              <w:rPr>
                <w:rFonts w:ascii="Arial" w:hAnsi="Arial" w:cs="Arial"/>
              </w:rPr>
              <w:t>471</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F23C1E" w:rsidRDefault="00A766E4" w:rsidP="00E34EF7">
            <w:pPr>
              <w:rPr>
                <w:sz w:val="22"/>
                <w:szCs w:val="22"/>
              </w:rPr>
            </w:pPr>
            <w:r w:rsidRPr="00F23C1E">
              <w:rPr>
                <w:sz w:val="22"/>
                <w:szCs w:val="22"/>
              </w:rPr>
              <w:t>Cumulative</w:t>
            </w:r>
          </w:p>
          <w:p w:rsidR="00A766E4" w:rsidRPr="00F23C1E" w:rsidRDefault="00A766E4" w:rsidP="00E34EF7">
            <w:pPr>
              <w:pStyle w:val="NoSpacing"/>
              <w:rPr>
                <w:rFonts w:ascii="Arial" w:hAnsi="Arial" w:cs="Arial"/>
              </w:rPr>
            </w:pPr>
            <w:r w:rsidRPr="00F23C1E">
              <w:rPr>
                <w:rFonts w:ascii="Arial" w:hAnsi="Arial" w:cs="Arial"/>
              </w:rPr>
              <w:t xml:space="preserve">525 </w:t>
            </w:r>
          </w:p>
          <w:p w:rsidR="00A766E4" w:rsidRPr="00F23C1E" w:rsidRDefault="00A766E4" w:rsidP="00E34EF7">
            <w:pPr>
              <w:pStyle w:val="No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F23C1E" w:rsidRDefault="00A766E4" w:rsidP="00E34EF7">
            <w:pPr>
              <w:pStyle w:val="NoSpacing"/>
              <w:rPr>
                <w:rFonts w:ascii="Arial" w:hAnsi="Arial" w:cs="Arial"/>
              </w:rPr>
            </w:pPr>
            <w:r w:rsidRPr="00F23C1E">
              <w:rPr>
                <w:rFonts w:ascii="Arial" w:hAnsi="Arial" w:cs="Arial"/>
              </w:rPr>
              <w:t>600</w:t>
            </w:r>
          </w:p>
          <w:p w:rsidR="00A766E4" w:rsidRPr="00F23C1E" w:rsidRDefault="00A766E4" w:rsidP="00E34EF7">
            <w:pPr>
              <w:pStyle w:val="NoSpacing"/>
              <w:rPr>
                <w:rFonts w:ascii="Arial" w:hAnsi="Arial" w:cs="Arial"/>
              </w:rPr>
            </w:pPr>
          </w:p>
        </w:tc>
      </w:tr>
    </w:tbl>
    <w:p w:rsidR="00A00251" w:rsidRDefault="00A00251" w:rsidP="00A766E4">
      <w:pPr>
        <w:rPr>
          <w:sz w:val="22"/>
          <w:szCs w:val="22"/>
          <w:lang w:eastAsia="en-GB"/>
        </w:rPr>
      </w:pPr>
    </w:p>
    <w:p w:rsidR="00A766E4" w:rsidRPr="00510628" w:rsidRDefault="00A00251" w:rsidP="00A766E4">
      <w:pPr>
        <w:rPr>
          <w:sz w:val="22"/>
          <w:szCs w:val="22"/>
          <w:lang w:eastAsia="en-GB"/>
        </w:rPr>
      </w:pPr>
      <w:r w:rsidRPr="00A00251">
        <w:rPr>
          <w:b/>
          <w:sz w:val="22"/>
          <w:szCs w:val="22"/>
          <w:lang w:eastAsia="en-GB"/>
        </w:rPr>
        <w:t>Use of Libraries</w:t>
      </w:r>
      <w:r>
        <w:rPr>
          <w:sz w:val="22"/>
          <w:szCs w:val="22"/>
          <w:lang w:eastAsia="en-GB"/>
        </w:rPr>
        <w:t xml:space="preserve">. </w:t>
      </w:r>
      <w:r w:rsidR="009376E3">
        <w:rPr>
          <w:sz w:val="22"/>
          <w:szCs w:val="22"/>
          <w:lang w:eastAsia="en-GB"/>
        </w:rPr>
        <w:t>There is normally a seasonal reduction in libraries footfall in q</w:t>
      </w:r>
      <w:r w:rsidR="00A766E4" w:rsidRPr="00510628">
        <w:rPr>
          <w:sz w:val="22"/>
          <w:szCs w:val="22"/>
          <w:lang w:eastAsia="en-GB"/>
        </w:rPr>
        <w:t>uarter 3, in part due to 5 days of closure at library sites over Christmas and New Year.</w:t>
      </w:r>
    </w:p>
    <w:p w:rsidR="00D85B53" w:rsidRDefault="00A00251" w:rsidP="00A766E4">
      <w:pPr>
        <w:rPr>
          <w:sz w:val="22"/>
          <w:szCs w:val="22"/>
          <w:lang w:eastAsia="en-GB"/>
        </w:rPr>
      </w:pPr>
      <w:r>
        <w:rPr>
          <w:b/>
          <w:sz w:val="22"/>
          <w:szCs w:val="22"/>
          <w:lang w:eastAsia="en-GB"/>
        </w:rPr>
        <w:t>People's network (</w:t>
      </w:r>
      <w:r w:rsidR="00A766E4" w:rsidRPr="00510628">
        <w:rPr>
          <w:b/>
          <w:sz w:val="22"/>
          <w:szCs w:val="22"/>
          <w:lang w:eastAsia="en-GB"/>
        </w:rPr>
        <w:t>PNET</w:t>
      </w:r>
      <w:r>
        <w:rPr>
          <w:b/>
          <w:sz w:val="22"/>
          <w:szCs w:val="22"/>
          <w:lang w:eastAsia="en-GB"/>
        </w:rPr>
        <w:t>)</w:t>
      </w:r>
      <w:r w:rsidR="00A766E4" w:rsidRPr="00510628">
        <w:rPr>
          <w:b/>
          <w:sz w:val="22"/>
          <w:szCs w:val="22"/>
          <w:lang w:eastAsia="en-GB"/>
        </w:rPr>
        <w:t xml:space="preserve"> sessions</w:t>
      </w:r>
      <w:r w:rsidR="00A766E4" w:rsidRPr="00510628">
        <w:rPr>
          <w:sz w:val="22"/>
          <w:szCs w:val="22"/>
          <w:lang w:eastAsia="en-GB"/>
        </w:rPr>
        <w:t xml:space="preserve"> are also traditionally affected by a seasonal fall in usage, but </w:t>
      </w:r>
      <w:r w:rsidR="009376E3">
        <w:rPr>
          <w:sz w:val="22"/>
          <w:szCs w:val="22"/>
          <w:lang w:eastAsia="en-GB"/>
        </w:rPr>
        <w:t>they have</w:t>
      </w:r>
      <w:r w:rsidR="00A766E4" w:rsidRPr="00510628">
        <w:rPr>
          <w:sz w:val="22"/>
          <w:szCs w:val="22"/>
          <w:lang w:eastAsia="en-GB"/>
        </w:rPr>
        <w:t xml:space="preserve"> also been affected by </w:t>
      </w:r>
      <w:r w:rsidR="009376E3">
        <w:rPr>
          <w:sz w:val="22"/>
          <w:szCs w:val="22"/>
          <w:lang w:eastAsia="en-GB"/>
        </w:rPr>
        <w:t xml:space="preserve">a </w:t>
      </w:r>
      <w:r w:rsidR="00A766E4" w:rsidRPr="00510628">
        <w:rPr>
          <w:sz w:val="22"/>
          <w:szCs w:val="22"/>
          <w:lang w:eastAsia="en-GB"/>
        </w:rPr>
        <w:t xml:space="preserve">system changeover and </w:t>
      </w:r>
      <w:r w:rsidR="009376E3">
        <w:rPr>
          <w:sz w:val="22"/>
          <w:szCs w:val="22"/>
          <w:lang w:eastAsia="en-GB"/>
        </w:rPr>
        <w:t xml:space="preserve">a </w:t>
      </w:r>
      <w:r w:rsidR="00A766E4" w:rsidRPr="00510628">
        <w:rPr>
          <w:sz w:val="22"/>
          <w:szCs w:val="22"/>
          <w:lang w:eastAsia="en-GB"/>
        </w:rPr>
        <w:t xml:space="preserve">revision in </w:t>
      </w:r>
      <w:r>
        <w:rPr>
          <w:sz w:val="22"/>
          <w:szCs w:val="22"/>
          <w:lang w:eastAsia="en-GB"/>
        </w:rPr>
        <w:t xml:space="preserve">the </w:t>
      </w:r>
      <w:r w:rsidR="00A766E4" w:rsidRPr="00510628">
        <w:rPr>
          <w:sz w:val="22"/>
          <w:szCs w:val="22"/>
          <w:lang w:eastAsia="en-GB"/>
        </w:rPr>
        <w:t>numbers of units available at some sites.</w:t>
      </w:r>
    </w:p>
    <w:p w:rsidR="00F51064" w:rsidRDefault="00F51064" w:rsidP="00A766E4">
      <w:pPr>
        <w:rPr>
          <w:sz w:val="22"/>
          <w:szCs w:val="22"/>
          <w:lang w:eastAsia="en-GB"/>
        </w:rPr>
      </w:pPr>
    </w:p>
    <w:p w:rsidR="0032288D" w:rsidRDefault="0032288D" w:rsidP="00A766E4">
      <w:pPr>
        <w:rPr>
          <w:sz w:val="22"/>
          <w:szCs w:val="22"/>
          <w:lang w:eastAsia="en-GB"/>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546"/>
        <w:gridCol w:w="864"/>
        <w:gridCol w:w="1838"/>
        <w:gridCol w:w="1417"/>
        <w:gridCol w:w="1423"/>
        <w:gridCol w:w="1701"/>
        <w:gridCol w:w="1271"/>
      </w:tblGrid>
      <w:tr w:rsidR="00CA16D5" w:rsidRPr="00FA30B2" w:rsidTr="00F51064">
        <w:trPr>
          <w:trHeight w:val="557"/>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lastRenderedPageBreak/>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A16D5" w:rsidRDefault="00CA16D5" w:rsidP="00CA16D5">
            <w:pPr>
              <w:pStyle w:val="NoSpacing"/>
              <w:rPr>
                <w:rFonts w:ascii="Arial" w:hAnsi="Arial" w:cs="Arial"/>
                <w:b/>
              </w:rPr>
            </w:pPr>
            <w:r>
              <w:rPr>
                <w:rFonts w:ascii="Arial" w:hAnsi="Arial" w:cs="Arial"/>
                <w:b/>
              </w:rPr>
              <w:t>Good is</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 xml:space="preserve">Q1 </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A766E4" w:rsidRPr="00FA30B2" w:rsidTr="00F51064">
        <w:trPr>
          <w:trHeight w:val="962"/>
          <w:jc w:val="center"/>
        </w:trPr>
        <w:tc>
          <w:tcPr>
            <w:tcW w:w="2410"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w:t>
            </w:r>
            <w:r w:rsidRPr="00FA30B2">
              <w:rPr>
                <w:rFonts w:ascii="Arial" w:hAnsi="Arial" w:cs="Arial"/>
              </w:rPr>
              <w:t xml:space="preserve"> of pupils reaching the expected standard in reading, writing and mathematics at KS2</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Annual</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High</w:t>
            </w:r>
          </w:p>
        </w:tc>
        <w:tc>
          <w:tcPr>
            <w:tcW w:w="18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Default="00A766E4" w:rsidP="00E34EF7">
            <w:pPr>
              <w:pStyle w:val="NoSpacing"/>
              <w:rPr>
                <w:rFonts w:ascii="Arial" w:hAnsi="Arial" w:cs="Arial"/>
              </w:rPr>
            </w:pPr>
            <w:r>
              <w:rPr>
                <w:rFonts w:ascii="Arial" w:hAnsi="Arial" w:cs="Arial"/>
              </w:rPr>
              <w:t>65%</w:t>
            </w:r>
          </w:p>
          <w:p w:rsidR="00A766E4" w:rsidRPr="00FA30B2" w:rsidRDefault="00A766E4" w:rsidP="00E34EF7">
            <w:pPr>
              <w:pStyle w:val="NoSpacing"/>
              <w:rPr>
                <w:rFonts w:ascii="Arial" w:hAnsi="Arial" w:cs="Arial"/>
              </w:rPr>
            </w:pPr>
            <w:r>
              <w:rPr>
                <w:rFonts w:ascii="Arial" w:hAnsi="Arial" w:cs="Arial"/>
              </w:rPr>
              <w:t>(2017/18)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Pr>
                <w:rFonts w:ascii="Arial" w:hAnsi="Arial" w:cs="Arial"/>
              </w:rPr>
              <w:t>-</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A30B2" w:rsidRDefault="00A766E4" w:rsidP="00E34EF7">
            <w:pPr>
              <w:pStyle w:val="NoSpacing"/>
              <w:rPr>
                <w:rFonts w:ascii="Arial" w:hAnsi="Arial" w:cs="Arial"/>
              </w:rPr>
            </w:pPr>
            <w:r w:rsidRPr="00FA30B2">
              <w:rPr>
                <w:rFonts w:ascii="Arial" w:hAnsi="Arial" w:cs="Arial"/>
              </w:rPr>
              <w:t>6</w:t>
            </w:r>
            <w:r>
              <w:rPr>
                <w:rFonts w:ascii="Arial" w:hAnsi="Arial" w:cs="Arial"/>
              </w:rPr>
              <w:t>4</w:t>
            </w:r>
            <w:r w:rsidRPr="00FA30B2">
              <w:rPr>
                <w:rFonts w:ascii="Arial" w:hAnsi="Arial" w:cs="Arial"/>
              </w:rPr>
              <w:t>% (2018/19)</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sidRPr="00FA30B2">
              <w:rPr>
                <w:rFonts w:ascii="Arial" w:hAnsi="Arial" w:cs="Arial"/>
              </w:rPr>
              <w:t>6</w:t>
            </w:r>
            <w:r>
              <w:rPr>
                <w:rFonts w:ascii="Arial" w:hAnsi="Arial" w:cs="Arial"/>
              </w:rPr>
              <w:t>7</w:t>
            </w:r>
            <w:r w:rsidRPr="00FA30B2">
              <w:rPr>
                <w:rFonts w:ascii="Arial" w:hAnsi="Arial" w:cs="Arial"/>
              </w:rPr>
              <w:t>%</w:t>
            </w:r>
          </w:p>
        </w:tc>
      </w:tr>
    </w:tbl>
    <w:p w:rsidR="00A766E4" w:rsidRDefault="00A766E4" w:rsidP="00A766E4">
      <w:pPr>
        <w:rPr>
          <w:sz w:val="22"/>
          <w:szCs w:val="22"/>
          <w:lang w:eastAsia="en-GB"/>
        </w:rPr>
      </w:pPr>
    </w:p>
    <w:p w:rsidR="00A766E4" w:rsidRDefault="00A00251" w:rsidP="00A00251">
      <w:pPr>
        <w:pStyle w:val="NoSpacing"/>
        <w:jc w:val="both"/>
        <w:rPr>
          <w:rFonts w:ascii="Arial" w:hAnsi="Arial" w:cs="Arial"/>
        </w:rPr>
      </w:pPr>
      <w:r w:rsidRPr="00A00251">
        <w:rPr>
          <w:rFonts w:ascii="Arial" w:hAnsi="Arial" w:cs="Arial"/>
          <w:b/>
        </w:rPr>
        <w:t>Standards in reading, writing and mathematics (key stage 2)</w:t>
      </w:r>
      <w:r>
        <w:rPr>
          <w:rFonts w:ascii="Arial" w:hAnsi="Arial" w:cs="Arial"/>
        </w:rPr>
        <w:t xml:space="preserve">. </w:t>
      </w:r>
      <w:r w:rsidR="00A766E4" w:rsidRPr="00BD38CE">
        <w:rPr>
          <w:rFonts w:ascii="Arial" w:hAnsi="Arial" w:cs="Arial"/>
        </w:rPr>
        <w:t xml:space="preserve">Revised data published by the </w:t>
      </w:r>
      <w:proofErr w:type="spellStart"/>
      <w:r w:rsidR="00A766E4" w:rsidRPr="00BD38CE">
        <w:rPr>
          <w:rFonts w:ascii="Arial" w:hAnsi="Arial" w:cs="Arial"/>
        </w:rPr>
        <w:t>DfE</w:t>
      </w:r>
      <w:proofErr w:type="spellEnd"/>
      <w:r w:rsidR="00A766E4" w:rsidRPr="00BD38CE">
        <w:rPr>
          <w:rFonts w:ascii="Arial" w:hAnsi="Arial" w:cs="Arial"/>
        </w:rPr>
        <w:t xml:space="preserve"> for 201</w:t>
      </w:r>
      <w:r w:rsidR="00A766E4">
        <w:rPr>
          <w:rFonts w:ascii="Arial" w:hAnsi="Arial" w:cs="Arial"/>
        </w:rPr>
        <w:t>8</w:t>
      </w:r>
      <w:r w:rsidR="00A766E4" w:rsidRPr="00BD38CE">
        <w:rPr>
          <w:rFonts w:ascii="Arial" w:hAnsi="Arial" w:cs="Arial"/>
        </w:rPr>
        <w:t>/1</w:t>
      </w:r>
      <w:r w:rsidR="00A766E4">
        <w:rPr>
          <w:rFonts w:ascii="Arial" w:hAnsi="Arial" w:cs="Arial"/>
        </w:rPr>
        <w:t>9</w:t>
      </w:r>
      <w:r w:rsidR="00A766E4" w:rsidRPr="00BD38CE">
        <w:rPr>
          <w:rFonts w:ascii="Arial" w:hAnsi="Arial" w:cs="Arial"/>
        </w:rPr>
        <w:t xml:space="preserve"> suggest within Lancashire</w:t>
      </w:r>
      <w:r w:rsidR="009F6464">
        <w:rPr>
          <w:rFonts w:ascii="Arial" w:hAnsi="Arial" w:cs="Arial"/>
        </w:rPr>
        <w:t xml:space="preserve"> almost two thirds</w:t>
      </w:r>
      <w:r w:rsidR="00A766E4" w:rsidRPr="00BD38CE">
        <w:rPr>
          <w:rFonts w:ascii="Arial" w:hAnsi="Arial" w:cs="Arial"/>
        </w:rPr>
        <w:t xml:space="preserve"> </w:t>
      </w:r>
      <w:r w:rsidR="00A766E4" w:rsidRPr="009F6464">
        <w:rPr>
          <w:rFonts w:ascii="Arial" w:hAnsi="Arial" w:cs="Arial"/>
        </w:rPr>
        <w:t>of pupils</w:t>
      </w:r>
      <w:r w:rsidR="00A766E4" w:rsidRPr="00BD38CE">
        <w:rPr>
          <w:rFonts w:ascii="Arial" w:hAnsi="Arial" w:cs="Arial"/>
        </w:rPr>
        <w:t xml:space="preserve"> reached the expected standard in reading, writing and mathematics. The Lancashire (6</w:t>
      </w:r>
      <w:r w:rsidR="00A766E4">
        <w:rPr>
          <w:rFonts w:ascii="Arial" w:hAnsi="Arial" w:cs="Arial"/>
        </w:rPr>
        <w:t>4</w:t>
      </w:r>
      <w:r w:rsidR="00A766E4" w:rsidRPr="00BD38CE">
        <w:rPr>
          <w:rFonts w:ascii="Arial" w:hAnsi="Arial" w:cs="Arial"/>
        </w:rPr>
        <w:t xml:space="preserve">%) proportion </w:t>
      </w:r>
      <w:r w:rsidR="00A766E4">
        <w:rPr>
          <w:rFonts w:ascii="Arial" w:hAnsi="Arial" w:cs="Arial"/>
        </w:rPr>
        <w:t xml:space="preserve">reduced </w:t>
      </w:r>
      <w:r w:rsidR="00A766E4" w:rsidRPr="00BD38CE">
        <w:rPr>
          <w:rFonts w:ascii="Arial" w:hAnsi="Arial" w:cs="Arial"/>
        </w:rPr>
        <w:t xml:space="preserve">on the </w:t>
      </w:r>
      <w:r w:rsidR="00A766E4">
        <w:rPr>
          <w:rFonts w:ascii="Arial" w:hAnsi="Arial" w:cs="Arial"/>
        </w:rPr>
        <w:t>previous year</w:t>
      </w:r>
      <w:r w:rsidR="00A766E4" w:rsidRPr="00BD38CE">
        <w:rPr>
          <w:rFonts w:ascii="Arial" w:hAnsi="Arial" w:cs="Arial"/>
        </w:rPr>
        <w:t xml:space="preserve"> (6</w:t>
      </w:r>
      <w:r w:rsidR="00A766E4">
        <w:rPr>
          <w:rFonts w:ascii="Arial" w:hAnsi="Arial" w:cs="Arial"/>
        </w:rPr>
        <w:t>5</w:t>
      </w:r>
      <w:r w:rsidR="00A766E4" w:rsidRPr="00BD38CE">
        <w:rPr>
          <w:rFonts w:ascii="Arial" w:hAnsi="Arial" w:cs="Arial"/>
        </w:rPr>
        <w:t>%) and was similar to the national (</w:t>
      </w:r>
      <w:r w:rsidR="00A766E4">
        <w:rPr>
          <w:rFonts w:ascii="Arial" w:hAnsi="Arial" w:cs="Arial"/>
        </w:rPr>
        <w:t>65</w:t>
      </w:r>
      <w:r w:rsidR="00A766E4" w:rsidRPr="00BD38CE">
        <w:rPr>
          <w:rFonts w:ascii="Arial" w:hAnsi="Arial" w:cs="Arial"/>
        </w:rPr>
        <w:t>%), regional (</w:t>
      </w:r>
      <w:r w:rsidR="00A766E4">
        <w:rPr>
          <w:rFonts w:ascii="Arial" w:hAnsi="Arial" w:cs="Arial"/>
        </w:rPr>
        <w:t>65</w:t>
      </w:r>
      <w:r w:rsidR="00A766E4" w:rsidRPr="00BD38CE">
        <w:rPr>
          <w:rFonts w:ascii="Arial" w:hAnsi="Arial" w:cs="Arial"/>
        </w:rPr>
        <w:t>%) and statistical neighbour</w:t>
      </w:r>
      <w:r w:rsidR="00A766E4">
        <w:rPr>
          <w:rFonts w:ascii="Arial" w:hAnsi="Arial" w:cs="Arial"/>
        </w:rPr>
        <w:t>s</w:t>
      </w:r>
      <w:r w:rsidR="00A766E4" w:rsidRPr="00BD38CE">
        <w:rPr>
          <w:rFonts w:ascii="Arial" w:hAnsi="Arial" w:cs="Arial"/>
        </w:rPr>
        <w:t xml:space="preserve"> (65.3%) averages. Lancashire </w:t>
      </w:r>
      <w:r>
        <w:rPr>
          <w:rFonts w:ascii="Arial" w:hAnsi="Arial" w:cs="Arial"/>
        </w:rPr>
        <w:t>is</w:t>
      </w:r>
      <w:r w:rsidR="00A766E4" w:rsidRPr="00BD38CE">
        <w:rPr>
          <w:rFonts w:ascii="Arial" w:hAnsi="Arial" w:cs="Arial"/>
        </w:rPr>
        <w:t xml:space="preserve"> positioned in the 3rd quartile nationally against this indicator (ranked </w:t>
      </w:r>
      <w:r w:rsidR="00A766E4">
        <w:rPr>
          <w:rFonts w:ascii="Arial" w:hAnsi="Arial" w:cs="Arial"/>
        </w:rPr>
        <w:t xml:space="preserve">95 </w:t>
      </w:r>
      <w:r w:rsidR="00A766E4" w:rsidRPr="00BD38CE">
        <w:rPr>
          <w:rFonts w:ascii="Arial" w:hAnsi="Arial" w:cs="Arial"/>
        </w:rPr>
        <w:t>from 15</w:t>
      </w:r>
      <w:r w:rsidR="00A766E4">
        <w:rPr>
          <w:rFonts w:ascii="Arial" w:hAnsi="Arial" w:cs="Arial"/>
        </w:rPr>
        <w:t>1</w:t>
      </w:r>
      <w:r w:rsidR="00A766E4" w:rsidRPr="00BD38CE">
        <w:rPr>
          <w:rFonts w:ascii="Arial" w:hAnsi="Arial" w:cs="Arial"/>
        </w:rPr>
        <w:t xml:space="preserve"> authorities)</w:t>
      </w:r>
      <w:r w:rsidR="00A766E4">
        <w:rPr>
          <w:rFonts w:ascii="Arial" w:hAnsi="Arial" w:cs="Arial"/>
        </w:rPr>
        <w:t xml:space="preserve">. </w:t>
      </w:r>
      <w:r w:rsidR="00A766E4" w:rsidRPr="00CF74A8">
        <w:rPr>
          <w:rFonts w:ascii="Arial" w:hAnsi="Arial" w:cs="Arial"/>
          <w:color w:val="000000"/>
        </w:rPr>
        <w:t>Th</w:t>
      </w:r>
      <w:r w:rsidR="00A766E4">
        <w:rPr>
          <w:rFonts w:ascii="Arial" w:hAnsi="Arial" w:cs="Arial"/>
          <w:color w:val="000000"/>
        </w:rPr>
        <w:t>is remains off the</w:t>
      </w:r>
      <w:r w:rsidR="00A766E4" w:rsidRPr="00CF74A8">
        <w:rPr>
          <w:rFonts w:ascii="Arial" w:hAnsi="Arial" w:cs="Arial"/>
          <w:color w:val="000000"/>
        </w:rPr>
        <w:t xml:space="preserve"> target </w:t>
      </w:r>
      <w:r w:rsidR="00A766E4">
        <w:rPr>
          <w:rFonts w:ascii="Arial" w:hAnsi="Arial" w:cs="Arial"/>
          <w:color w:val="000000"/>
        </w:rPr>
        <w:t xml:space="preserve">of 67% set </w:t>
      </w:r>
      <w:r w:rsidR="00A766E4" w:rsidRPr="00CF74A8">
        <w:rPr>
          <w:rFonts w:ascii="Arial" w:hAnsi="Arial" w:cs="Arial"/>
          <w:color w:val="000000"/>
        </w:rPr>
        <w:t>for 2020/21</w:t>
      </w:r>
      <w:r w:rsidR="00A766E4">
        <w:rPr>
          <w:rFonts w:ascii="Arial" w:hAnsi="Arial" w:cs="Arial"/>
          <w:color w:val="000000"/>
        </w:rPr>
        <w:t xml:space="preserve">.  </w:t>
      </w:r>
      <w:r w:rsidR="00A766E4" w:rsidRPr="00521E6E">
        <w:rPr>
          <w:rFonts w:ascii="Arial" w:hAnsi="Arial" w:cs="Arial"/>
        </w:rPr>
        <w:t xml:space="preserve">To help foster improvements data </w:t>
      </w:r>
      <w:r w:rsidR="00DD1E30">
        <w:rPr>
          <w:rFonts w:ascii="Arial" w:hAnsi="Arial" w:cs="Arial"/>
        </w:rPr>
        <w:t>are</w:t>
      </w:r>
      <w:r w:rsidR="00A766E4" w:rsidRPr="00521E6E">
        <w:rPr>
          <w:rFonts w:ascii="Arial" w:hAnsi="Arial" w:cs="Arial"/>
        </w:rPr>
        <w:t xml:space="preserve"> shared with </w:t>
      </w:r>
      <w:r w:rsidR="00DD1E30" w:rsidRPr="00521E6E">
        <w:rPr>
          <w:rFonts w:ascii="Arial" w:hAnsi="Arial" w:cs="Arial"/>
        </w:rPr>
        <w:t>head teachers</w:t>
      </w:r>
      <w:r w:rsidR="00A766E4" w:rsidRPr="00521E6E">
        <w:rPr>
          <w:rFonts w:ascii="Arial" w:hAnsi="Arial" w:cs="Arial"/>
        </w:rPr>
        <w:t xml:space="preserve"> at </w:t>
      </w:r>
      <w:r w:rsidR="00DD1E30" w:rsidRPr="00521E6E">
        <w:rPr>
          <w:rFonts w:ascii="Arial" w:hAnsi="Arial" w:cs="Arial"/>
        </w:rPr>
        <w:t>head teacher</w:t>
      </w:r>
      <w:r w:rsidR="00A766E4" w:rsidRPr="00521E6E">
        <w:rPr>
          <w:rFonts w:ascii="Arial" w:hAnsi="Arial" w:cs="Arial"/>
        </w:rPr>
        <w:t xml:space="preserve"> forums/senior leader briefings, along with chairs of governors, and in both instances 'challenge questions' for self-evaluation have</w:t>
      </w:r>
      <w:r w:rsidR="00DD1E30">
        <w:rPr>
          <w:rFonts w:ascii="Arial" w:hAnsi="Arial" w:cs="Arial"/>
        </w:rPr>
        <w:t xml:space="preserve"> been provided </w:t>
      </w:r>
      <w:r w:rsidR="00A766E4" w:rsidRPr="00521E6E">
        <w:rPr>
          <w:rFonts w:ascii="Arial" w:hAnsi="Arial" w:cs="Arial"/>
        </w:rPr>
        <w:t>a</w:t>
      </w:r>
      <w:r w:rsidR="0001784B">
        <w:rPr>
          <w:rFonts w:ascii="Arial" w:hAnsi="Arial" w:cs="Arial"/>
        </w:rPr>
        <w:t>nd discussed on adviser visits.</w:t>
      </w:r>
    </w:p>
    <w:p w:rsidR="0001784B" w:rsidRPr="0001784B" w:rsidRDefault="0001784B" w:rsidP="0001784B">
      <w:pPr>
        <w:pStyle w:val="NoSpacing"/>
        <w:rPr>
          <w:rFonts w:ascii="Arial" w:hAnsi="Arial" w:cs="Arial"/>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843"/>
        <w:gridCol w:w="1417"/>
        <w:gridCol w:w="1418"/>
        <w:gridCol w:w="1701"/>
        <w:gridCol w:w="1276"/>
      </w:tblGrid>
      <w:tr w:rsidR="00CA16D5" w:rsidRPr="00FA30B2" w:rsidTr="00CA16D5">
        <w:trPr>
          <w:trHeight w:val="54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A16D5" w:rsidRDefault="00CA16D5" w:rsidP="00CA16D5">
            <w:pPr>
              <w:pStyle w:val="NoSpacing"/>
              <w:rPr>
                <w:rFonts w:ascii="Arial" w:hAnsi="Arial" w:cs="Arial"/>
                <w:b/>
              </w:rPr>
            </w:pPr>
            <w:r>
              <w:rPr>
                <w:rFonts w:ascii="Arial" w:hAnsi="Arial" w:cs="Arial"/>
                <w:b/>
              </w:rPr>
              <w:t>Good 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6D5" w:rsidRPr="00FA30B2" w:rsidRDefault="00CA16D5" w:rsidP="00CA16D5">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A766E4" w:rsidRPr="00FA30B2" w:rsidTr="00E34EF7">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Average Attainment 8 score at GCSE</w:t>
            </w: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Annual</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Pr="00FA30B2" w:rsidRDefault="00A766E4" w:rsidP="00E34EF7">
            <w:pPr>
              <w:pStyle w:val="NoSpacing"/>
              <w:rPr>
                <w:rFonts w:ascii="Arial" w:hAnsi="Arial" w:cs="Arial"/>
              </w:rPr>
            </w:pPr>
            <w:r>
              <w:rPr>
                <w:rFonts w:ascii="Arial" w:hAnsi="Arial" w:cs="Arial"/>
              </w:rPr>
              <w:t>46.7</w:t>
            </w:r>
            <w:r>
              <w:rPr>
                <w:rFonts w:ascii="Arial" w:hAnsi="Arial" w:cs="Arial"/>
              </w:rPr>
              <w:br/>
              <w:t>(2017/18)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766E4" w:rsidRDefault="00A766E4" w:rsidP="00E34EF7">
            <w:pPr>
              <w:pStyle w:val="NoSpacing"/>
              <w:rPr>
                <w:rFonts w:ascii="Arial" w:hAnsi="Arial" w:cs="Arial"/>
              </w:rPr>
            </w:pPr>
            <w:r w:rsidRPr="00FA30B2">
              <w:rPr>
                <w:rFonts w:ascii="Arial" w:hAnsi="Arial" w:cs="Arial"/>
              </w:rPr>
              <w:t xml:space="preserve">46.6 </w:t>
            </w:r>
          </w:p>
          <w:p w:rsidR="00A766E4" w:rsidRPr="00FA30B2" w:rsidRDefault="00A766E4" w:rsidP="00E34EF7">
            <w:pPr>
              <w:pStyle w:val="NoSpacing"/>
              <w:rPr>
                <w:rFonts w:ascii="Arial" w:hAnsi="Arial" w:cs="Arial"/>
              </w:rPr>
            </w:pPr>
            <w:r w:rsidRPr="00FA30B2">
              <w:rPr>
                <w:rFonts w:ascii="Arial" w:hAnsi="Arial" w:cs="Arial"/>
              </w:rPr>
              <w:t>(2018/19</w:t>
            </w:r>
          </w:p>
          <w:p w:rsidR="00A766E4" w:rsidRPr="00FA30B2" w:rsidRDefault="00A766E4" w:rsidP="00E34EF7">
            <w:pPr>
              <w:pStyle w:val="NoSpacing"/>
              <w:rPr>
                <w:rFonts w:ascii="Arial" w:hAnsi="Arial" w:cs="Arial"/>
              </w:rPr>
            </w:pPr>
            <w:r w:rsidRPr="00FA30B2">
              <w:rPr>
                <w:rFonts w:ascii="Arial" w:hAnsi="Arial" w:cs="Arial"/>
              </w:rPr>
              <w:t>provisional)</w:t>
            </w:r>
            <w:r>
              <w:rPr>
                <w:rFonts w:ascii="Arial" w:hAnsi="Arial" w:cs="Arial"/>
              </w:rPr>
              <w:t xml:space="preserve"> </w:t>
            </w:r>
            <w:r>
              <w:rPr>
                <w:rFonts w:ascii="Arial" w:hAnsi="Arial" w:cs="Arial"/>
              </w:rPr>
              <w:br/>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sidRPr="00FA30B2">
              <w:rPr>
                <w:rFonts w:ascii="Arial" w:hAnsi="Arial" w:cs="Arial"/>
              </w:rPr>
              <w:t>4</w:t>
            </w:r>
            <w:r>
              <w:rPr>
                <w:rFonts w:ascii="Arial" w:hAnsi="Arial" w:cs="Arial"/>
              </w:rPr>
              <w:t>7.7</w:t>
            </w:r>
          </w:p>
        </w:tc>
      </w:tr>
      <w:tr w:rsidR="00CA16D5" w:rsidRPr="00FA30B2" w:rsidTr="0015724F">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CA16D5" w:rsidRPr="00FA30B2" w:rsidRDefault="00CA16D5" w:rsidP="00CA16D5">
            <w:pPr>
              <w:pStyle w:val="NoSpacing"/>
              <w:rPr>
                <w:rFonts w:ascii="Arial" w:hAnsi="Arial" w:cs="Arial"/>
              </w:rPr>
            </w:pPr>
            <w:r w:rsidRPr="00FA30B2">
              <w:rPr>
                <w:rFonts w:ascii="Arial" w:hAnsi="Arial" w:cs="Arial"/>
              </w:rPr>
              <w:t>Percentage of young people in employment education or training</w:t>
            </w:r>
            <w:r>
              <w:rPr>
                <w:rFonts w:ascii="Arial" w:hAnsi="Arial" w:cs="Arial"/>
              </w:rPr>
              <w:t xml:space="preserve"> (NEET)</w:t>
            </w:r>
          </w:p>
        </w:tc>
        <w:tc>
          <w:tcPr>
            <w:tcW w:w="1559" w:type="dxa"/>
            <w:tcBorders>
              <w:top w:val="single" w:sz="4" w:space="0" w:color="auto"/>
              <w:left w:val="single" w:sz="4" w:space="0" w:color="auto"/>
              <w:bottom w:val="single" w:sz="4" w:space="0" w:color="auto"/>
              <w:right w:val="single" w:sz="4" w:space="0" w:color="auto"/>
            </w:tcBorders>
          </w:tcPr>
          <w:p w:rsidR="00CA16D5" w:rsidRPr="00FA30B2" w:rsidRDefault="00CA16D5" w:rsidP="00CA16D5">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CA16D5" w:rsidRPr="00FA30B2" w:rsidRDefault="00CA16D5" w:rsidP="00CA16D5">
            <w:pPr>
              <w:pStyle w:val="NoSpacing"/>
              <w:rPr>
                <w:rFonts w:ascii="Arial" w:hAnsi="Arial" w:cs="Arial"/>
              </w:rPr>
            </w:pPr>
            <w:r>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CA16D5" w:rsidRPr="00FA30B2" w:rsidRDefault="00CA16D5" w:rsidP="00CA16D5">
            <w:pPr>
              <w:pStyle w:val="NoSpacing"/>
              <w:rPr>
                <w:rFonts w:ascii="Arial" w:hAnsi="Arial" w:cs="Arial"/>
              </w:rPr>
            </w:pPr>
            <w:r>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CA16D5" w:rsidRPr="008A3559" w:rsidRDefault="00CA16D5" w:rsidP="00CA16D5">
            <w:pPr>
              <w:pStyle w:val="NoSpacing"/>
              <w:rPr>
                <w:rFonts w:ascii="Arial" w:hAnsi="Arial" w:cs="Arial"/>
                <w:color w:val="FFFFFF" w:themeColor="background1"/>
              </w:rPr>
            </w:pPr>
            <w:r w:rsidRPr="0015724F">
              <w:rPr>
                <w:rFonts w:ascii="Arial" w:hAnsi="Arial" w:cs="Arial"/>
                <w:color w:val="FFFFFF" w:themeColor="background1"/>
              </w:rPr>
              <w:t xml:space="preserve">89.9% (Dec 2018 - Feb19 average)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CA16D5" w:rsidRPr="008A3559" w:rsidRDefault="00CA16D5" w:rsidP="00CA16D5">
            <w:pPr>
              <w:pStyle w:val="NoSpacing"/>
              <w:rPr>
                <w:rFonts w:ascii="Arial" w:hAnsi="Arial" w:cs="Arial"/>
                <w:color w:val="FFFFFF" w:themeColor="background1"/>
              </w:rPr>
            </w:pPr>
            <w:r w:rsidRPr="008A3559">
              <w:rPr>
                <w:rFonts w:ascii="Arial" w:hAnsi="Arial" w:cs="Arial"/>
                <w:color w:val="FFFFFF" w:themeColor="background1"/>
              </w:rPr>
              <w:t>90.5%</w:t>
            </w:r>
          </w:p>
          <w:p w:rsidR="00CA16D5" w:rsidRPr="008A3559" w:rsidRDefault="00CA16D5" w:rsidP="00CA16D5">
            <w:pPr>
              <w:pStyle w:val="NoSpacing"/>
              <w:rPr>
                <w:rFonts w:ascii="Arial" w:hAnsi="Arial" w:cs="Arial"/>
                <w:color w:val="FFFFFF" w:themeColor="background1"/>
              </w:rPr>
            </w:pPr>
          </w:p>
          <w:p w:rsidR="00CA16D5" w:rsidRPr="008A3559" w:rsidRDefault="00CA16D5" w:rsidP="00CA16D5">
            <w:pPr>
              <w:pStyle w:val="NoSpacing"/>
              <w:rPr>
                <w:rFonts w:ascii="Arial" w:hAnsi="Arial" w:cs="Arial"/>
                <w:color w:val="FFFFFF" w:themeColor="background1"/>
              </w:rPr>
            </w:pPr>
            <w:r w:rsidRPr="008A3559">
              <w:rPr>
                <w:rFonts w:ascii="Arial" w:hAnsi="Arial" w:cs="Arial"/>
                <w:color w:val="FFFFFF" w:themeColor="background1"/>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rsidR="00CA16D5" w:rsidRPr="008A3559" w:rsidRDefault="00CA16D5" w:rsidP="00CA16D5">
            <w:pPr>
              <w:pStyle w:val="NoSpacing"/>
              <w:rPr>
                <w:rFonts w:ascii="Arial" w:hAnsi="Arial" w:cs="Arial"/>
                <w:color w:val="FFFFFF" w:themeColor="background1"/>
              </w:rPr>
            </w:pPr>
            <w:r w:rsidRPr="008A3559">
              <w:rPr>
                <w:rFonts w:ascii="Arial" w:hAnsi="Arial" w:cs="Arial"/>
                <w:color w:val="FFFFFF" w:themeColor="background1"/>
              </w:rPr>
              <w:t>83.7%</w:t>
            </w:r>
          </w:p>
          <w:p w:rsidR="00CA16D5" w:rsidRPr="008A3559" w:rsidRDefault="00CA16D5" w:rsidP="00CA16D5">
            <w:pPr>
              <w:pStyle w:val="NoSpacing"/>
              <w:rPr>
                <w:rFonts w:ascii="Arial" w:hAnsi="Arial" w:cs="Arial"/>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CA16D5" w:rsidRDefault="00CA16D5" w:rsidP="00CA16D5">
            <w:pPr>
              <w:pStyle w:val="NoSpacing"/>
              <w:rPr>
                <w:rFonts w:ascii="Arial" w:hAnsi="Arial" w:cs="Arial"/>
              </w:rPr>
            </w:pPr>
            <w:r>
              <w:rPr>
                <w:rFonts w:ascii="Arial" w:hAnsi="Arial" w:cs="Arial"/>
              </w:rPr>
              <w:t>91.9%</w:t>
            </w:r>
          </w:p>
          <w:p w:rsidR="00CA16D5" w:rsidRPr="00FA30B2" w:rsidRDefault="00CA16D5" w:rsidP="00CA16D5">
            <w:pPr>
              <w:pStyle w:val="No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A16D5" w:rsidRDefault="00CA16D5" w:rsidP="00CA16D5">
            <w:pPr>
              <w:pStyle w:val="NoSpacing"/>
              <w:rPr>
                <w:rFonts w:ascii="Arial" w:hAnsi="Arial" w:cs="Arial"/>
              </w:rPr>
            </w:pPr>
            <w:r w:rsidRPr="00FA30B2">
              <w:rPr>
                <w:rFonts w:ascii="Arial" w:hAnsi="Arial" w:cs="Arial"/>
              </w:rPr>
              <w:t>9</w:t>
            </w:r>
            <w:r>
              <w:rPr>
                <w:rFonts w:ascii="Arial" w:hAnsi="Arial" w:cs="Arial"/>
              </w:rPr>
              <w:t>4</w:t>
            </w:r>
            <w:r w:rsidRPr="00FA30B2">
              <w:rPr>
                <w:rFonts w:ascii="Arial" w:hAnsi="Arial" w:cs="Arial"/>
              </w:rPr>
              <w:t>.7%</w:t>
            </w:r>
          </w:p>
          <w:p w:rsidR="00CA16D5" w:rsidRPr="00FA30B2" w:rsidRDefault="00CA16D5" w:rsidP="00CA16D5">
            <w:pPr>
              <w:pStyle w:val="NoSpacing"/>
              <w:rPr>
                <w:rFonts w:ascii="Arial" w:hAnsi="Arial" w:cs="Arial"/>
              </w:rPr>
            </w:pPr>
            <w:r>
              <w:rPr>
                <w:rFonts w:ascii="Arial" w:hAnsi="Arial" w:cs="Arial"/>
              </w:rPr>
              <w:t>(Dec 2020-Feb 2021 average)</w:t>
            </w:r>
          </w:p>
        </w:tc>
      </w:tr>
    </w:tbl>
    <w:p w:rsidR="00A766E4" w:rsidRDefault="00A766E4" w:rsidP="00A766E4">
      <w:pPr>
        <w:rPr>
          <w:rFonts w:cs="Arial"/>
        </w:rPr>
      </w:pPr>
    </w:p>
    <w:p w:rsidR="00CA16D5" w:rsidRDefault="00CA16D5" w:rsidP="00A766E4">
      <w:pPr>
        <w:rPr>
          <w:rFonts w:cs="Arial"/>
        </w:rPr>
      </w:pPr>
      <w:r w:rsidRPr="00CA16D5">
        <w:rPr>
          <w:rFonts w:cs="Arial"/>
          <w:b/>
          <w:sz w:val="22"/>
          <w:szCs w:val="22"/>
        </w:rPr>
        <w:t>Average Attainment 8 score at GCSE</w:t>
      </w:r>
      <w:r w:rsidRPr="00315598">
        <w:rPr>
          <w:rFonts w:cs="Arial"/>
          <w:sz w:val="22"/>
          <w:szCs w:val="22"/>
        </w:rPr>
        <w:t xml:space="preserve"> </w:t>
      </w:r>
      <w:r>
        <w:rPr>
          <w:rFonts w:cs="Arial"/>
          <w:sz w:val="22"/>
          <w:szCs w:val="22"/>
        </w:rPr>
        <w:t xml:space="preserve">- </w:t>
      </w:r>
      <w:r w:rsidRPr="00315598">
        <w:rPr>
          <w:rFonts w:cs="Arial"/>
          <w:sz w:val="22"/>
          <w:szCs w:val="22"/>
        </w:rPr>
        <w:t>Revised data to be published in February 2020</w:t>
      </w:r>
      <w:r>
        <w:rPr>
          <w:rFonts w:cs="Arial"/>
          <w:sz w:val="22"/>
          <w:szCs w:val="22"/>
        </w:rPr>
        <w:t>.</w:t>
      </w:r>
    </w:p>
    <w:p w:rsidR="00A766E4" w:rsidRDefault="00DD1E30" w:rsidP="009F6464">
      <w:pPr>
        <w:pStyle w:val="NoSpacing"/>
        <w:jc w:val="both"/>
        <w:rPr>
          <w:rFonts w:ascii="Arial" w:hAnsi="Arial" w:cs="Arial"/>
          <w:color w:val="000000"/>
        </w:rPr>
      </w:pPr>
      <w:r>
        <w:rPr>
          <w:rFonts w:ascii="Arial" w:hAnsi="Arial" w:cs="Arial"/>
          <w:b/>
        </w:rPr>
        <w:t>Not in Employment Education or Training (</w:t>
      </w:r>
      <w:r w:rsidR="00CA16D5" w:rsidRPr="00CA16D5">
        <w:rPr>
          <w:rFonts w:ascii="Arial" w:hAnsi="Arial" w:cs="Arial"/>
          <w:b/>
        </w:rPr>
        <w:t>NEET</w:t>
      </w:r>
      <w:r>
        <w:rPr>
          <w:rFonts w:ascii="Arial" w:hAnsi="Arial" w:cs="Arial"/>
          <w:b/>
        </w:rPr>
        <w:t>)</w:t>
      </w:r>
      <w:r w:rsidR="00CA16D5">
        <w:rPr>
          <w:rFonts w:ascii="Arial" w:hAnsi="Arial" w:cs="Arial"/>
        </w:rPr>
        <w:t xml:space="preserve"> - </w:t>
      </w:r>
      <w:r w:rsidR="00A766E4" w:rsidRPr="009E61D7">
        <w:rPr>
          <w:rFonts w:ascii="Arial" w:hAnsi="Arial" w:cs="Arial"/>
        </w:rPr>
        <w:t xml:space="preserve">At the end of </w:t>
      </w:r>
      <w:r w:rsidR="00A766E4">
        <w:rPr>
          <w:rFonts w:ascii="Arial" w:hAnsi="Arial" w:cs="Arial"/>
        </w:rPr>
        <w:t>quarter 3</w:t>
      </w:r>
      <w:r w:rsidR="00A766E4" w:rsidRPr="009E61D7">
        <w:rPr>
          <w:rFonts w:ascii="Arial" w:hAnsi="Arial" w:cs="Arial"/>
        </w:rPr>
        <w:t xml:space="preserve"> there were 2,</w:t>
      </w:r>
      <w:r w:rsidR="00A766E4">
        <w:rPr>
          <w:rFonts w:ascii="Arial" w:hAnsi="Arial" w:cs="Arial"/>
        </w:rPr>
        <w:t>073</w:t>
      </w:r>
      <w:r w:rsidR="00A766E4" w:rsidRPr="009E61D7">
        <w:rPr>
          <w:rFonts w:ascii="Arial" w:hAnsi="Arial" w:cs="Arial"/>
        </w:rPr>
        <w:t xml:space="preserve"> 16/17 year olds with </w:t>
      </w:r>
      <w:r w:rsidR="00A766E4">
        <w:rPr>
          <w:rFonts w:ascii="Arial" w:hAnsi="Arial" w:cs="Arial"/>
        </w:rPr>
        <w:t>either a recorded status of not in employment, education or training or not known. T</w:t>
      </w:r>
      <w:r w:rsidR="00A766E4" w:rsidRPr="009E61D7">
        <w:rPr>
          <w:rFonts w:ascii="Arial" w:hAnsi="Arial" w:cs="Arial"/>
        </w:rPr>
        <w:t xml:space="preserve">his is </w:t>
      </w:r>
      <w:r w:rsidR="00A766E4">
        <w:rPr>
          <w:rFonts w:ascii="Arial" w:hAnsi="Arial" w:cs="Arial"/>
        </w:rPr>
        <w:t>decrease</w:t>
      </w:r>
      <w:r w:rsidR="00A766E4" w:rsidRPr="009E61D7">
        <w:rPr>
          <w:rFonts w:ascii="Arial" w:hAnsi="Arial" w:cs="Arial"/>
        </w:rPr>
        <w:t xml:space="preserve"> on the on the previous </w:t>
      </w:r>
      <w:r w:rsidR="00A766E4">
        <w:rPr>
          <w:rFonts w:ascii="Arial" w:hAnsi="Arial" w:cs="Arial"/>
        </w:rPr>
        <w:t xml:space="preserve">two quarters (Q1 2,414, Q2 4,162) and also a significant improvement on Q3 of 2018/19 (3,371). </w:t>
      </w:r>
      <w:r w:rsidR="00A766E4" w:rsidRPr="00CF74A8">
        <w:rPr>
          <w:rFonts w:ascii="Arial" w:hAnsi="Arial" w:cs="Arial"/>
          <w:color w:val="000000"/>
        </w:rPr>
        <w:t>Th</w:t>
      </w:r>
      <w:r w:rsidR="00A766E4">
        <w:rPr>
          <w:rFonts w:ascii="Arial" w:hAnsi="Arial" w:cs="Arial"/>
          <w:color w:val="000000"/>
        </w:rPr>
        <w:t>e performance remains off the</w:t>
      </w:r>
      <w:r w:rsidR="00A766E4" w:rsidRPr="00CF74A8">
        <w:rPr>
          <w:rFonts w:ascii="Arial" w:hAnsi="Arial" w:cs="Arial"/>
          <w:color w:val="000000"/>
        </w:rPr>
        <w:t xml:space="preserve"> target </w:t>
      </w:r>
      <w:r w:rsidR="00A766E4">
        <w:rPr>
          <w:rFonts w:ascii="Arial" w:hAnsi="Arial" w:cs="Arial"/>
          <w:color w:val="000000"/>
        </w:rPr>
        <w:t xml:space="preserve">for national reporting of 94.7% set </w:t>
      </w:r>
      <w:r w:rsidR="00A766E4" w:rsidRPr="00CF74A8">
        <w:rPr>
          <w:rFonts w:ascii="Arial" w:hAnsi="Arial" w:cs="Arial"/>
          <w:color w:val="000000"/>
        </w:rPr>
        <w:t xml:space="preserve">for </w:t>
      </w:r>
      <w:r w:rsidR="00A766E4">
        <w:rPr>
          <w:rFonts w:ascii="Arial" w:hAnsi="Arial" w:cs="Arial"/>
          <w:color w:val="000000"/>
        </w:rPr>
        <w:t xml:space="preserve">Dec 2020 – Feb </w:t>
      </w:r>
      <w:r w:rsidR="00EF3F00">
        <w:rPr>
          <w:rFonts w:ascii="Arial" w:hAnsi="Arial" w:cs="Arial"/>
          <w:color w:val="000000"/>
        </w:rPr>
        <w:t>20</w:t>
      </w:r>
      <w:r w:rsidR="00A766E4" w:rsidRPr="00CF74A8">
        <w:rPr>
          <w:rFonts w:ascii="Arial" w:hAnsi="Arial" w:cs="Arial"/>
          <w:color w:val="000000"/>
        </w:rPr>
        <w:t>21</w:t>
      </w:r>
      <w:r w:rsidR="00A766E4">
        <w:rPr>
          <w:rFonts w:ascii="Arial" w:hAnsi="Arial" w:cs="Arial"/>
          <w:color w:val="000000"/>
        </w:rPr>
        <w:t>.</w:t>
      </w:r>
    </w:p>
    <w:p w:rsidR="00A766E4" w:rsidRDefault="00A766E4" w:rsidP="009F6464">
      <w:pPr>
        <w:pStyle w:val="NoSpacing"/>
        <w:jc w:val="both"/>
        <w:rPr>
          <w:rFonts w:ascii="Arial" w:hAnsi="Arial" w:cs="Arial"/>
          <w:color w:val="FF0000"/>
        </w:rPr>
      </w:pPr>
    </w:p>
    <w:p w:rsidR="00EC2CD4" w:rsidRDefault="00A766E4" w:rsidP="00A766E4">
      <w:pPr>
        <w:rPr>
          <w:rFonts w:cs="Arial"/>
          <w:sz w:val="22"/>
          <w:szCs w:val="22"/>
        </w:rPr>
      </w:pPr>
      <w:r w:rsidRPr="00FA732D">
        <w:rPr>
          <w:rFonts w:cs="Arial"/>
          <w:sz w:val="22"/>
          <w:szCs w:val="22"/>
        </w:rPr>
        <w:lastRenderedPageBreak/>
        <w:t>Improvements in NEET tracking and outcomes include establishing closer links with internal teams who work with vu</w:t>
      </w:r>
      <w:r w:rsidR="00DD1E30">
        <w:rPr>
          <w:rFonts w:cs="Arial"/>
          <w:sz w:val="22"/>
          <w:szCs w:val="22"/>
        </w:rPr>
        <w:t>lnerable young people, such as the I</w:t>
      </w:r>
      <w:r w:rsidRPr="00FA732D">
        <w:rPr>
          <w:rFonts w:cs="Arial"/>
          <w:sz w:val="22"/>
          <w:szCs w:val="22"/>
        </w:rPr>
        <w:t>nclusion</w:t>
      </w:r>
      <w:r w:rsidR="00DD1E30">
        <w:rPr>
          <w:rFonts w:cs="Arial"/>
          <w:sz w:val="22"/>
          <w:szCs w:val="22"/>
        </w:rPr>
        <w:t xml:space="preserve"> Service</w:t>
      </w:r>
      <w:r w:rsidRPr="00FA732D">
        <w:rPr>
          <w:rFonts w:cs="Arial"/>
          <w:sz w:val="22"/>
          <w:szCs w:val="22"/>
        </w:rPr>
        <w:t>, the virtual school and Y</w:t>
      </w:r>
      <w:r w:rsidR="00DD1E30">
        <w:rPr>
          <w:rFonts w:cs="Arial"/>
          <w:sz w:val="22"/>
          <w:szCs w:val="22"/>
        </w:rPr>
        <w:t xml:space="preserve">outh </w:t>
      </w:r>
      <w:r w:rsidRPr="00FA732D">
        <w:rPr>
          <w:rFonts w:cs="Arial"/>
          <w:sz w:val="22"/>
          <w:szCs w:val="22"/>
        </w:rPr>
        <w:t>O</w:t>
      </w:r>
      <w:r w:rsidR="00DD1E30">
        <w:rPr>
          <w:rFonts w:cs="Arial"/>
          <w:sz w:val="22"/>
          <w:szCs w:val="22"/>
        </w:rPr>
        <w:t xml:space="preserve">ffending </w:t>
      </w:r>
      <w:r w:rsidRPr="00FA732D">
        <w:rPr>
          <w:rFonts w:cs="Arial"/>
          <w:sz w:val="22"/>
          <w:szCs w:val="22"/>
        </w:rPr>
        <w:t>T</w:t>
      </w:r>
      <w:r w:rsidR="00DD1E30">
        <w:rPr>
          <w:rFonts w:cs="Arial"/>
          <w:sz w:val="22"/>
          <w:szCs w:val="22"/>
        </w:rPr>
        <w:t>eam (YOT)</w:t>
      </w:r>
      <w:r w:rsidRPr="00FA732D">
        <w:rPr>
          <w:rFonts w:cs="Arial"/>
          <w:sz w:val="22"/>
          <w:szCs w:val="22"/>
        </w:rPr>
        <w:t xml:space="preserve">.  This has improved our data for young people in these vulnerable groups.  We have increased our engagement with the secondary and post 16 sector in Lancashire and this has improved the timeliness of the information we receive from them. We have also produced and shared a Tracking Guidance document, reiterating the statutory duties of both the authority and the education providers, and have issued a data sharing agreements to these providers to improve our performance going forward.  In addition we are working more effectively with other local authorities ensuring the accuracy of data in terms of young people moving into and out of the county.  </w:t>
      </w:r>
    </w:p>
    <w:p w:rsidR="00EC2CD4" w:rsidRPr="00FA732D" w:rsidRDefault="00EC2CD4" w:rsidP="00A766E4">
      <w:pPr>
        <w:rPr>
          <w:rFonts w:cs="Arial"/>
          <w:sz w:val="22"/>
          <w:szCs w:val="22"/>
        </w:rPr>
      </w:pPr>
    </w:p>
    <w:tbl>
      <w:tblPr>
        <w:tblW w:w="14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1559"/>
        <w:gridCol w:w="1546"/>
        <w:gridCol w:w="864"/>
        <w:gridCol w:w="1843"/>
        <w:gridCol w:w="1417"/>
        <w:gridCol w:w="1418"/>
        <w:gridCol w:w="1701"/>
        <w:gridCol w:w="1554"/>
      </w:tblGrid>
      <w:tr w:rsidR="00A766E4" w:rsidRPr="00FA30B2" w:rsidTr="006949CD">
        <w:trPr>
          <w:trHeight w:val="561"/>
          <w:jc w:val="center"/>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sidRPr="00FA30B2">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Default="00A766E4" w:rsidP="00E34EF7">
            <w:pPr>
              <w:pStyle w:val="NoSpacing"/>
              <w:rPr>
                <w:rFonts w:ascii="Arial" w:hAnsi="Arial" w:cs="Arial"/>
                <w:b/>
              </w:rPr>
            </w:pPr>
            <w:r>
              <w:rPr>
                <w:rFonts w:ascii="Arial" w:hAnsi="Arial" w:cs="Arial"/>
                <w:b/>
              </w:rPr>
              <w:t>Good is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Pr>
                <w:rFonts w:ascii="Arial" w:hAnsi="Arial" w:cs="Arial"/>
                <w:b/>
              </w:rPr>
              <w:t>2018/19 Performance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Pr>
                <w:rFonts w:ascii="Arial" w:hAnsi="Arial" w:cs="Arial"/>
                <w:b/>
              </w:rPr>
              <w:t xml:space="preserve">Q1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rsidR="00A766E4" w:rsidRPr="00FA30B2" w:rsidRDefault="00A766E4" w:rsidP="00E34EF7">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A766E4" w:rsidRPr="00FA30B2" w:rsidTr="006949CD">
        <w:trPr>
          <w:trHeight w:val="1054"/>
          <w:jc w:val="center"/>
        </w:trPr>
        <w:tc>
          <w:tcPr>
            <w:tcW w:w="2131"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r w:rsidRPr="00FA30B2">
              <w:rPr>
                <w:rFonts w:ascii="Arial" w:hAnsi="Arial" w:cs="Arial"/>
              </w:rPr>
              <w:t>Proportion of children excluded from school</w:t>
            </w:r>
          </w:p>
          <w:p w:rsidR="00A766E4" w:rsidRPr="00A26A50" w:rsidRDefault="00A766E4" w:rsidP="00E34EF7">
            <w:pPr>
              <w:pStyle w:val="NoSpacing"/>
              <w:rPr>
                <w:rFonts w:ascii="Arial" w:hAnsi="Arial" w:cs="Arial"/>
                <w:b/>
                <w:color w:val="000000"/>
              </w:rPr>
            </w:pPr>
          </w:p>
        </w:tc>
        <w:tc>
          <w:tcPr>
            <w:tcW w:w="1559"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Ed</w:t>
            </w:r>
            <w:r w:rsidR="0001784B">
              <w:rPr>
                <w:rFonts w:ascii="Arial" w:hAnsi="Arial" w:cs="Arial"/>
              </w:rPr>
              <w:t>ucation and Children's Services</w:t>
            </w:r>
          </w:p>
        </w:tc>
        <w:tc>
          <w:tcPr>
            <w:tcW w:w="864"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Pr>
                <w:rFonts w:ascii="Arial" w:hAnsi="Arial" w:cs="Arial"/>
              </w:rPr>
              <w:t>Low</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A766E4" w:rsidRPr="008A3559" w:rsidRDefault="00A766E4" w:rsidP="00E34EF7">
            <w:pPr>
              <w:pStyle w:val="NoSpacing"/>
              <w:rPr>
                <w:rFonts w:ascii="Arial" w:hAnsi="Arial" w:cs="Arial"/>
                <w:color w:val="FFFFFF" w:themeColor="background1"/>
              </w:rPr>
            </w:pPr>
            <w:r w:rsidRPr="008A3559">
              <w:rPr>
                <w:rFonts w:ascii="Arial" w:hAnsi="Arial" w:cs="Arial"/>
                <w:color w:val="FFFFFF" w:themeColor="background1"/>
              </w:rPr>
              <w:t>0.19% (2017/18)</w:t>
            </w:r>
          </w:p>
          <w:p w:rsidR="00A766E4" w:rsidRPr="00FA30B2" w:rsidRDefault="00A766E4" w:rsidP="00E34EF7">
            <w:pPr>
              <w:pStyle w:val="NoSpacing"/>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A766E4" w:rsidRPr="004F0D7F" w:rsidRDefault="00A766E4" w:rsidP="00E34EF7">
            <w:pPr>
              <w:pStyle w:val="NoSpacing"/>
              <w:rPr>
                <w:rFonts w:ascii="Arial" w:hAnsi="Arial" w:cs="Arial"/>
                <w:color w:val="FFFFFF" w:themeColor="background1"/>
              </w:rPr>
            </w:pPr>
            <w:r w:rsidRPr="008736D6">
              <w:rPr>
                <w:rFonts w:ascii="Arial" w:hAnsi="Arial" w:cs="Arial"/>
                <w:color w:val="FFFFFF" w:themeColor="background1"/>
              </w:rPr>
              <w:t>0.24%</w:t>
            </w:r>
            <w:r>
              <w:rPr>
                <w:rFonts w:ascii="Arial" w:hAnsi="Arial" w:cs="Arial"/>
                <w:color w:val="FFFFFF" w:themeColor="background1"/>
              </w:rPr>
              <w:t xml:space="preserve"> (2018/19)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A766E4" w:rsidRPr="00FA30B2" w:rsidRDefault="00A766E4" w:rsidP="00E34EF7">
            <w:pPr>
              <w:pStyle w:val="NoSpacing"/>
              <w:rPr>
                <w:rFonts w:ascii="Arial" w:hAnsi="Arial" w:cs="Arial"/>
              </w:rPr>
            </w:pPr>
            <w:r w:rsidRPr="00FA30B2">
              <w:rPr>
                <w:rFonts w:ascii="Arial" w:hAnsi="Arial" w:cs="Arial"/>
              </w:rPr>
              <w:t>0.</w:t>
            </w:r>
            <w:r>
              <w:rPr>
                <w:rFonts w:ascii="Arial" w:hAnsi="Arial" w:cs="Arial"/>
              </w:rPr>
              <w:t>09</w:t>
            </w:r>
            <w:r w:rsidRPr="00FA30B2">
              <w:rPr>
                <w:rFonts w:ascii="Arial" w:hAnsi="Arial" w:cs="Arial"/>
              </w:rPr>
              <w:t>%</w:t>
            </w:r>
          </w:p>
        </w:tc>
      </w:tr>
    </w:tbl>
    <w:p w:rsidR="00A766E4" w:rsidRDefault="00A766E4" w:rsidP="00A766E4">
      <w:pPr>
        <w:rPr>
          <w:rFonts w:cs="Arial"/>
        </w:rPr>
      </w:pPr>
    </w:p>
    <w:p w:rsidR="00A766E4" w:rsidRDefault="00DD1E30" w:rsidP="00DD1E30">
      <w:pPr>
        <w:pStyle w:val="NoSpacing"/>
        <w:jc w:val="both"/>
        <w:rPr>
          <w:rFonts w:ascii="Arial" w:hAnsi="Arial" w:cs="Arial"/>
        </w:rPr>
      </w:pPr>
      <w:r w:rsidRPr="00DD1E30">
        <w:rPr>
          <w:rFonts w:ascii="Arial" w:hAnsi="Arial" w:cs="Arial"/>
          <w:b/>
        </w:rPr>
        <w:t>Exclusions.</w:t>
      </w:r>
      <w:r>
        <w:rPr>
          <w:rFonts w:ascii="Arial" w:hAnsi="Arial" w:cs="Arial"/>
        </w:rPr>
        <w:t xml:space="preserve"> </w:t>
      </w:r>
      <w:r w:rsidR="00A766E4">
        <w:rPr>
          <w:rFonts w:ascii="Arial" w:hAnsi="Arial" w:cs="Arial"/>
        </w:rPr>
        <w:t xml:space="preserve">Internal data suggests there were 388 permanent exclusions during 2018/19 academic year. This equates to a rate of 0.24% and is an increase on 2017/18 (0.19%) which was above the national (0.10%) and regional rates (0.13%). Revised data for 2018/19 </w:t>
      </w:r>
      <w:r>
        <w:rPr>
          <w:rFonts w:ascii="Arial" w:hAnsi="Arial" w:cs="Arial"/>
        </w:rPr>
        <w:t>will</w:t>
      </w:r>
      <w:r w:rsidR="00A766E4">
        <w:rPr>
          <w:rFonts w:ascii="Arial" w:hAnsi="Arial" w:cs="Arial"/>
        </w:rPr>
        <w:t xml:space="preserve"> be published August 2020.</w:t>
      </w:r>
    </w:p>
    <w:p w:rsidR="00A766E4" w:rsidRDefault="00A766E4" w:rsidP="00A766E4">
      <w:pPr>
        <w:pStyle w:val="NoSpacing"/>
        <w:rPr>
          <w:rFonts w:ascii="Arial" w:hAnsi="Arial" w:cs="Arial"/>
        </w:rPr>
      </w:pPr>
    </w:p>
    <w:p w:rsidR="00A766E4" w:rsidRPr="004F0D7F" w:rsidRDefault="00A766E4" w:rsidP="00A766E4">
      <w:pPr>
        <w:rPr>
          <w:b/>
          <w:sz w:val="22"/>
          <w:szCs w:val="22"/>
        </w:rPr>
      </w:pPr>
      <w:r w:rsidRPr="004F0D7F">
        <w:rPr>
          <w:sz w:val="22"/>
          <w:szCs w:val="22"/>
        </w:rPr>
        <w:t>Members of the Pupil Access Team will continue to make</w:t>
      </w:r>
      <w:r w:rsidRPr="004F0D7F">
        <w:rPr>
          <w:rFonts w:cs="Arial"/>
          <w:sz w:val="22"/>
          <w:szCs w:val="22"/>
        </w:rPr>
        <w:t xml:space="preserve"> written representations to governors disciplinary committees of maintained schools. Advisors, the </w:t>
      </w:r>
      <w:r>
        <w:rPr>
          <w:rFonts w:cs="Arial"/>
          <w:sz w:val="22"/>
          <w:szCs w:val="22"/>
        </w:rPr>
        <w:t>Alternative Provision</w:t>
      </w:r>
      <w:r w:rsidRPr="004F0D7F">
        <w:rPr>
          <w:rFonts w:cs="Arial"/>
          <w:sz w:val="22"/>
          <w:szCs w:val="22"/>
        </w:rPr>
        <w:t xml:space="preserve"> Officer and Pupil Access will continue to offer advice and alternative strategies to schools</w:t>
      </w:r>
      <w:r w:rsidR="00DD1E30">
        <w:rPr>
          <w:rFonts w:cs="Arial"/>
          <w:sz w:val="22"/>
          <w:szCs w:val="22"/>
        </w:rPr>
        <w:t xml:space="preserve"> to avoid exclusion and advise</w:t>
      </w:r>
      <w:r w:rsidRPr="004F0D7F">
        <w:rPr>
          <w:rFonts w:cs="Arial"/>
          <w:sz w:val="22"/>
          <w:szCs w:val="22"/>
        </w:rPr>
        <w:t xml:space="preserve"> on compliance with statutory guidance. Pupil Access officers have recently undertaken to attend the Governors Discipline Committee meetings for all p</w:t>
      </w:r>
      <w:r w:rsidR="00DD1E30">
        <w:rPr>
          <w:rFonts w:cs="Arial"/>
          <w:sz w:val="22"/>
          <w:szCs w:val="22"/>
        </w:rPr>
        <w:t>rimary, children looked after and special educational needs</w:t>
      </w:r>
      <w:r w:rsidRPr="004F0D7F">
        <w:rPr>
          <w:rFonts w:cs="Arial"/>
          <w:sz w:val="22"/>
          <w:szCs w:val="22"/>
        </w:rPr>
        <w:t xml:space="preserve"> permanent exclusions to make verbal representations, challenging head teacher's decisions where appropriate. </w:t>
      </w:r>
    </w:p>
    <w:p w:rsidR="00D85B53" w:rsidRDefault="00A766E4" w:rsidP="00D85B53">
      <w:pPr>
        <w:rPr>
          <w:sz w:val="22"/>
          <w:szCs w:val="22"/>
        </w:rPr>
      </w:pPr>
      <w:r w:rsidRPr="004F0D7F">
        <w:rPr>
          <w:sz w:val="22"/>
          <w:szCs w:val="22"/>
        </w:rPr>
        <w:t>Prevention work with primary schools is taking place through the development of inclusion hubs. The recommendations following the external review of secondary support and provision are being implemented.</w:t>
      </w:r>
    </w:p>
    <w:p w:rsidR="00DD1E30" w:rsidRDefault="00DD1E30" w:rsidP="00D85B53">
      <w:pPr>
        <w:rPr>
          <w:sz w:val="22"/>
          <w:szCs w:val="22"/>
        </w:rPr>
      </w:pPr>
    </w:p>
    <w:p w:rsidR="00DD1E30" w:rsidRDefault="00DD1E30" w:rsidP="00D85B53">
      <w:pPr>
        <w:rPr>
          <w:sz w:val="22"/>
          <w:szCs w:val="22"/>
        </w:rPr>
      </w:pPr>
    </w:p>
    <w:p w:rsidR="00CA16D5" w:rsidRPr="00A766E4" w:rsidRDefault="00CA16D5" w:rsidP="00D85B53">
      <w:pPr>
        <w:rPr>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542"/>
        <w:gridCol w:w="1378"/>
        <w:gridCol w:w="791"/>
        <w:gridCol w:w="1650"/>
        <w:gridCol w:w="1134"/>
        <w:gridCol w:w="1559"/>
        <w:gridCol w:w="1701"/>
        <w:gridCol w:w="1843"/>
      </w:tblGrid>
      <w:tr w:rsidR="00510628" w:rsidRPr="00FA30B2" w:rsidTr="00EC2CD4">
        <w:trPr>
          <w:trHeight w:val="670"/>
        </w:trPr>
        <w:tc>
          <w:tcPr>
            <w:tcW w:w="2436" w:type="dxa"/>
            <w:tcBorders>
              <w:top w:val="single" w:sz="4" w:space="0" w:color="auto"/>
              <w:left w:val="single" w:sz="4" w:space="0" w:color="auto"/>
              <w:bottom w:val="single" w:sz="4" w:space="0" w:color="auto"/>
              <w:right w:val="single" w:sz="4" w:space="0" w:color="auto"/>
            </w:tcBorders>
          </w:tcPr>
          <w:p w:rsidR="00510628" w:rsidRPr="00FA30B2" w:rsidRDefault="00510628" w:rsidP="00510628">
            <w:pPr>
              <w:pStyle w:val="NoSpacing"/>
              <w:rPr>
                <w:rFonts w:ascii="Arial" w:hAnsi="Arial" w:cs="Arial"/>
                <w:b/>
              </w:rPr>
            </w:pPr>
            <w:r w:rsidRPr="00FA30B2">
              <w:rPr>
                <w:rFonts w:ascii="Arial" w:hAnsi="Arial" w:cs="Arial"/>
                <w:b/>
              </w:rPr>
              <w:lastRenderedPageBreak/>
              <w:t>Performance Indicator</w:t>
            </w:r>
          </w:p>
        </w:tc>
        <w:tc>
          <w:tcPr>
            <w:tcW w:w="1542" w:type="dxa"/>
            <w:tcBorders>
              <w:top w:val="single" w:sz="4" w:space="0" w:color="auto"/>
              <w:left w:val="single" w:sz="4" w:space="0" w:color="auto"/>
              <w:bottom w:val="single" w:sz="4" w:space="0" w:color="auto"/>
              <w:right w:val="single" w:sz="4" w:space="0" w:color="auto"/>
            </w:tcBorders>
          </w:tcPr>
          <w:p w:rsidR="00510628" w:rsidRPr="00FA30B2" w:rsidRDefault="00510628" w:rsidP="00510628">
            <w:pPr>
              <w:pStyle w:val="NoSpacing"/>
              <w:rPr>
                <w:rFonts w:ascii="Arial" w:hAnsi="Arial" w:cs="Arial"/>
                <w:b/>
              </w:rPr>
            </w:pPr>
            <w:r w:rsidRPr="00FA30B2">
              <w:rPr>
                <w:rFonts w:ascii="Arial" w:hAnsi="Arial" w:cs="Arial"/>
                <w:b/>
              </w:rPr>
              <w:t>Frequency</w:t>
            </w:r>
          </w:p>
        </w:tc>
        <w:tc>
          <w:tcPr>
            <w:tcW w:w="1378" w:type="dxa"/>
            <w:tcBorders>
              <w:top w:val="single" w:sz="4" w:space="0" w:color="auto"/>
              <w:left w:val="single" w:sz="4" w:space="0" w:color="auto"/>
              <w:bottom w:val="single" w:sz="4" w:space="0" w:color="auto"/>
              <w:right w:val="single" w:sz="4" w:space="0" w:color="auto"/>
            </w:tcBorders>
          </w:tcPr>
          <w:p w:rsidR="00510628" w:rsidRPr="00FA30B2" w:rsidRDefault="00510628" w:rsidP="00510628">
            <w:pPr>
              <w:pStyle w:val="NoSpacing"/>
              <w:rPr>
                <w:rFonts w:ascii="Arial" w:hAnsi="Arial" w:cs="Arial"/>
                <w:b/>
              </w:rPr>
            </w:pPr>
            <w:r w:rsidRPr="00FA30B2">
              <w:rPr>
                <w:rFonts w:ascii="Arial" w:hAnsi="Arial" w:cs="Arial"/>
                <w:b/>
              </w:rPr>
              <w:t xml:space="preserve">Directorate </w:t>
            </w:r>
          </w:p>
        </w:tc>
        <w:tc>
          <w:tcPr>
            <w:tcW w:w="791" w:type="dxa"/>
            <w:tcBorders>
              <w:top w:val="single" w:sz="4" w:space="0" w:color="auto"/>
              <w:left w:val="single" w:sz="4" w:space="0" w:color="auto"/>
              <w:bottom w:val="single" w:sz="4" w:space="0" w:color="auto"/>
              <w:right w:val="single" w:sz="4" w:space="0" w:color="auto"/>
            </w:tcBorders>
          </w:tcPr>
          <w:p w:rsidR="00510628" w:rsidRDefault="00510628" w:rsidP="00510628">
            <w:pPr>
              <w:pStyle w:val="NoSpacing"/>
              <w:rPr>
                <w:rFonts w:ascii="Arial" w:hAnsi="Arial" w:cs="Arial"/>
                <w:b/>
              </w:rPr>
            </w:pPr>
            <w:r>
              <w:rPr>
                <w:rFonts w:ascii="Arial" w:hAnsi="Arial" w:cs="Arial"/>
                <w:b/>
              </w:rPr>
              <w:t>Good is</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510628" w:rsidRPr="00FA30B2" w:rsidRDefault="00510628" w:rsidP="00510628">
            <w:pPr>
              <w:pStyle w:val="NoSpacing"/>
              <w:rPr>
                <w:rFonts w:ascii="Arial" w:hAnsi="Arial" w:cs="Arial"/>
                <w:b/>
              </w:rPr>
            </w:pPr>
            <w:r>
              <w:rPr>
                <w:rFonts w:ascii="Arial" w:hAnsi="Arial" w:cs="Arial"/>
                <w:b/>
              </w:rPr>
              <w:t>2018/19 Performance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0628" w:rsidRPr="00FA30B2" w:rsidRDefault="00510628" w:rsidP="00510628">
            <w:pPr>
              <w:pStyle w:val="NoSpacing"/>
              <w:rPr>
                <w:rFonts w:ascii="Arial" w:hAnsi="Arial" w:cs="Arial"/>
                <w:b/>
              </w:rPr>
            </w:pPr>
            <w:r>
              <w:rPr>
                <w:rFonts w:ascii="Arial" w:hAnsi="Arial" w:cs="Arial"/>
                <w:b/>
              </w:rPr>
              <w:t xml:space="preserve">Q1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10628" w:rsidRPr="00FA30B2" w:rsidRDefault="00510628" w:rsidP="00510628">
            <w:pPr>
              <w:pStyle w:val="NoSpacing"/>
              <w:rPr>
                <w:rFonts w:ascii="Arial" w:hAnsi="Arial" w:cs="Arial"/>
                <w:b/>
              </w:rPr>
            </w:pPr>
            <w:r>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0628" w:rsidRPr="00FA30B2" w:rsidRDefault="00510628" w:rsidP="00510628">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843" w:type="dxa"/>
            <w:tcBorders>
              <w:top w:val="single" w:sz="4" w:space="0" w:color="auto"/>
              <w:left w:val="single" w:sz="4" w:space="0" w:color="auto"/>
              <w:bottom w:val="single" w:sz="4" w:space="0" w:color="auto"/>
              <w:right w:val="single" w:sz="4" w:space="0" w:color="auto"/>
            </w:tcBorders>
          </w:tcPr>
          <w:p w:rsidR="00510628" w:rsidRPr="00FA30B2" w:rsidRDefault="00510628" w:rsidP="00510628">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970DA7" w:rsidRPr="00FA30B2" w:rsidTr="00EC2CD4">
        <w:trPr>
          <w:trHeight w:val="1536"/>
        </w:trPr>
        <w:tc>
          <w:tcPr>
            <w:tcW w:w="2436" w:type="dxa"/>
            <w:tcBorders>
              <w:top w:val="single" w:sz="4" w:space="0" w:color="auto"/>
              <w:left w:val="single" w:sz="4" w:space="0" w:color="auto"/>
              <w:bottom w:val="single" w:sz="4" w:space="0" w:color="auto"/>
              <w:right w:val="single" w:sz="4" w:space="0" w:color="auto"/>
            </w:tcBorders>
          </w:tcPr>
          <w:p w:rsidR="00970DA7" w:rsidRPr="00FA30B2" w:rsidRDefault="00970DA7" w:rsidP="00123E07">
            <w:pPr>
              <w:pStyle w:val="NoSpacing"/>
              <w:rPr>
                <w:rFonts w:ascii="Arial" w:hAnsi="Arial" w:cs="Arial"/>
              </w:rPr>
            </w:pPr>
            <w:r w:rsidRPr="00FA30B2">
              <w:rPr>
                <w:rFonts w:ascii="Arial" w:hAnsi="Arial" w:cs="Arial"/>
              </w:rPr>
              <w:t>Percentage of adults with learning disabilities in employment</w:t>
            </w:r>
          </w:p>
        </w:tc>
        <w:tc>
          <w:tcPr>
            <w:tcW w:w="1542" w:type="dxa"/>
            <w:tcBorders>
              <w:top w:val="single" w:sz="4" w:space="0" w:color="auto"/>
              <w:left w:val="single" w:sz="4" w:space="0" w:color="auto"/>
              <w:bottom w:val="single" w:sz="4" w:space="0" w:color="auto"/>
              <w:right w:val="single" w:sz="4" w:space="0" w:color="auto"/>
            </w:tcBorders>
          </w:tcPr>
          <w:p w:rsidR="00970DA7" w:rsidRPr="00FA30B2" w:rsidRDefault="00970DA7" w:rsidP="00123E07">
            <w:pPr>
              <w:pStyle w:val="NoSpacing"/>
              <w:rPr>
                <w:rFonts w:ascii="Arial" w:hAnsi="Arial" w:cs="Arial"/>
              </w:rPr>
            </w:pPr>
            <w:r w:rsidRPr="00FA30B2">
              <w:rPr>
                <w:rFonts w:ascii="Arial" w:hAnsi="Arial" w:cs="Arial"/>
              </w:rPr>
              <w:t>Quarterly</w:t>
            </w:r>
          </w:p>
        </w:tc>
        <w:tc>
          <w:tcPr>
            <w:tcW w:w="1378" w:type="dxa"/>
            <w:tcBorders>
              <w:top w:val="single" w:sz="4" w:space="0" w:color="auto"/>
              <w:left w:val="single" w:sz="4" w:space="0" w:color="auto"/>
              <w:bottom w:val="single" w:sz="4" w:space="0" w:color="auto"/>
              <w:right w:val="single" w:sz="4" w:space="0" w:color="auto"/>
            </w:tcBorders>
          </w:tcPr>
          <w:p w:rsidR="00970DA7" w:rsidRDefault="00970DA7" w:rsidP="00123E07">
            <w:pPr>
              <w:pStyle w:val="NoSpacing"/>
              <w:rPr>
                <w:rFonts w:ascii="Arial" w:hAnsi="Arial" w:cs="Arial"/>
              </w:rPr>
            </w:pPr>
            <w:r w:rsidRPr="00FA30B2">
              <w:rPr>
                <w:rFonts w:ascii="Arial" w:hAnsi="Arial" w:cs="Arial"/>
              </w:rPr>
              <w:t xml:space="preserve">Adults </w:t>
            </w:r>
            <w:r>
              <w:rPr>
                <w:rFonts w:ascii="Arial" w:hAnsi="Arial" w:cs="Arial"/>
              </w:rPr>
              <w:t>Se</w:t>
            </w:r>
            <w:r w:rsidR="00943BB6">
              <w:rPr>
                <w:rFonts w:ascii="Arial" w:hAnsi="Arial" w:cs="Arial"/>
              </w:rPr>
              <w:t>rvices and Health and Wellbeing</w:t>
            </w:r>
          </w:p>
        </w:tc>
        <w:tc>
          <w:tcPr>
            <w:tcW w:w="791" w:type="dxa"/>
            <w:tcBorders>
              <w:top w:val="single" w:sz="4" w:space="0" w:color="auto"/>
              <w:left w:val="single" w:sz="4" w:space="0" w:color="auto"/>
              <w:bottom w:val="single" w:sz="4" w:space="0" w:color="auto"/>
              <w:right w:val="single" w:sz="4" w:space="0" w:color="auto"/>
            </w:tcBorders>
          </w:tcPr>
          <w:p w:rsidR="00970DA7" w:rsidRPr="0080455B" w:rsidRDefault="00F37071" w:rsidP="00123E07">
            <w:pPr>
              <w:pStyle w:val="NoSpacing"/>
              <w:rPr>
                <w:rFonts w:ascii="Arial" w:hAnsi="Arial" w:cs="Arial"/>
              </w:rPr>
            </w:pPr>
            <w:r>
              <w:rPr>
                <w:rFonts w:ascii="Arial" w:hAnsi="Arial" w:cs="Arial"/>
              </w:rPr>
              <w:t>High</w:t>
            </w:r>
          </w:p>
        </w:tc>
        <w:tc>
          <w:tcPr>
            <w:tcW w:w="1650" w:type="dxa"/>
            <w:tcBorders>
              <w:top w:val="single" w:sz="4" w:space="0" w:color="auto"/>
              <w:left w:val="single" w:sz="4" w:space="0" w:color="auto"/>
              <w:bottom w:val="single" w:sz="4" w:space="0" w:color="auto"/>
              <w:right w:val="single" w:sz="4" w:space="0" w:color="auto"/>
            </w:tcBorders>
            <w:shd w:val="clear" w:color="auto" w:fill="FF0000"/>
          </w:tcPr>
          <w:p w:rsidR="00970DA7" w:rsidRPr="0056032A" w:rsidRDefault="00F37071" w:rsidP="00123E07">
            <w:pPr>
              <w:pStyle w:val="NoSpacing"/>
              <w:rPr>
                <w:rFonts w:ascii="Arial" w:hAnsi="Arial" w:cs="Arial"/>
                <w:color w:val="FFFFFF" w:themeColor="background1"/>
              </w:rPr>
            </w:pPr>
            <w:r w:rsidRPr="0056032A">
              <w:rPr>
                <w:rFonts w:ascii="Arial" w:hAnsi="Arial" w:cs="Arial"/>
                <w:color w:val="FFFFFF" w:themeColor="background1"/>
              </w:rPr>
              <w:t>1.70%</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rsidR="00970DA7" w:rsidRPr="0056032A" w:rsidRDefault="00F37071" w:rsidP="00123E07">
            <w:pPr>
              <w:pStyle w:val="NoSpacing"/>
              <w:rPr>
                <w:rFonts w:ascii="Arial" w:hAnsi="Arial" w:cs="Arial"/>
                <w:color w:val="FFFFFF" w:themeColor="background1"/>
              </w:rPr>
            </w:pPr>
            <w:r w:rsidRPr="0056032A">
              <w:rPr>
                <w:rFonts w:ascii="Arial" w:hAnsi="Arial" w:cs="Arial"/>
                <w:color w:val="FFFFFF" w:themeColor="background1"/>
              </w:rPr>
              <w:t>1.80%</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970DA7" w:rsidRPr="0056032A" w:rsidRDefault="00F37071" w:rsidP="00123E07">
            <w:pPr>
              <w:pStyle w:val="NoSpacing"/>
              <w:rPr>
                <w:rFonts w:ascii="Arial" w:hAnsi="Arial" w:cs="Arial"/>
                <w:color w:val="FFFFFF" w:themeColor="background1"/>
              </w:rPr>
            </w:pPr>
            <w:r w:rsidRPr="0056032A">
              <w:rPr>
                <w:rFonts w:ascii="Arial" w:hAnsi="Arial" w:cs="Arial"/>
                <w:color w:val="FFFFFF" w:themeColor="background1"/>
              </w:rPr>
              <w:t>1.90%</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970DA7" w:rsidRPr="0056032A" w:rsidRDefault="00F37071" w:rsidP="00123E07">
            <w:pPr>
              <w:pStyle w:val="NoSpacing"/>
              <w:rPr>
                <w:rFonts w:ascii="Arial" w:hAnsi="Arial" w:cs="Arial"/>
                <w:color w:val="FFFFFF" w:themeColor="background1"/>
              </w:rPr>
            </w:pPr>
            <w:r w:rsidRPr="0056032A">
              <w:rPr>
                <w:rFonts w:ascii="Arial" w:hAnsi="Arial" w:cs="Arial"/>
                <w:color w:val="FFFFFF" w:themeColor="background1"/>
              </w:rPr>
              <w:t>1.96%</w:t>
            </w:r>
          </w:p>
        </w:tc>
        <w:tc>
          <w:tcPr>
            <w:tcW w:w="1843" w:type="dxa"/>
            <w:tcBorders>
              <w:top w:val="single" w:sz="4" w:space="0" w:color="auto"/>
              <w:left w:val="single" w:sz="4" w:space="0" w:color="auto"/>
              <w:bottom w:val="single" w:sz="4" w:space="0" w:color="auto"/>
              <w:right w:val="single" w:sz="4" w:space="0" w:color="auto"/>
            </w:tcBorders>
          </w:tcPr>
          <w:p w:rsidR="00970DA7" w:rsidRPr="0080455B" w:rsidRDefault="00970DA7" w:rsidP="00123E07">
            <w:pPr>
              <w:pStyle w:val="NoSpacing"/>
              <w:rPr>
                <w:rFonts w:ascii="Arial" w:hAnsi="Arial" w:cs="Arial"/>
              </w:rPr>
            </w:pPr>
            <w:r w:rsidRPr="0080455B">
              <w:rPr>
                <w:rFonts w:ascii="Arial" w:hAnsi="Arial" w:cs="Arial"/>
              </w:rPr>
              <w:t>3.1%</w:t>
            </w:r>
          </w:p>
        </w:tc>
      </w:tr>
    </w:tbl>
    <w:p w:rsidR="00CA16D5" w:rsidRDefault="00CA16D5" w:rsidP="00A766E4">
      <w:pPr>
        <w:pStyle w:val="NoSpacing"/>
        <w:rPr>
          <w:rFonts w:ascii="Arial" w:hAnsi="Arial" w:cs="Arial"/>
          <w:b/>
        </w:rPr>
      </w:pPr>
    </w:p>
    <w:p w:rsidR="00A766E4" w:rsidRDefault="00DD1E30" w:rsidP="00DD1E30">
      <w:pPr>
        <w:pStyle w:val="NoSpacing"/>
        <w:jc w:val="both"/>
        <w:rPr>
          <w:rFonts w:ascii="Arial" w:hAnsi="Arial" w:cs="Arial"/>
        </w:rPr>
      </w:pPr>
      <w:r>
        <w:rPr>
          <w:rFonts w:ascii="Arial" w:hAnsi="Arial" w:cs="Arial"/>
          <w:b/>
        </w:rPr>
        <w:t>A</w:t>
      </w:r>
      <w:r w:rsidR="00A766E4" w:rsidRPr="00FA21FC">
        <w:rPr>
          <w:rFonts w:ascii="Arial" w:hAnsi="Arial" w:cs="Arial"/>
          <w:b/>
        </w:rPr>
        <w:t>dults with learning disabilities in employment</w:t>
      </w:r>
      <w:r w:rsidR="00A766E4">
        <w:rPr>
          <w:rFonts w:ascii="Arial" w:hAnsi="Arial" w:cs="Arial"/>
        </w:rPr>
        <w:t xml:space="preserve"> – Although the </w:t>
      </w:r>
      <w:r>
        <w:rPr>
          <w:rFonts w:ascii="Arial" w:hAnsi="Arial" w:cs="Arial"/>
        </w:rPr>
        <w:t xml:space="preserve">proportion </w:t>
      </w:r>
      <w:r w:rsidR="00A766E4">
        <w:rPr>
          <w:rFonts w:ascii="Arial" w:hAnsi="Arial" w:cs="Arial"/>
        </w:rPr>
        <w:t>of adults with learning disabilities</w:t>
      </w:r>
      <w:r>
        <w:rPr>
          <w:rFonts w:ascii="Arial" w:hAnsi="Arial" w:cs="Arial"/>
        </w:rPr>
        <w:t xml:space="preserve"> in employment</w:t>
      </w:r>
      <w:r w:rsidR="00A766E4">
        <w:rPr>
          <w:rFonts w:ascii="Arial" w:hAnsi="Arial" w:cs="Arial"/>
        </w:rPr>
        <w:t xml:space="preserve"> has risen since 2018/19 through to 2019/20 with a Quarter 3 high of 1.96%, this is still considera</w:t>
      </w:r>
      <w:r>
        <w:rPr>
          <w:rFonts w:ascii="Arial" w:hAnsi="Arial" w:cs="Arial"/>
        </w:rPr>
        <w:t>bly under target and under the n</w:t>
      </w:r>
      <w:r w:rsidR="00A766E4">
        <w:rPr>
          <w:rFonts w:ascii="Arial" w:hAnsi="Arial" w:cs="Arial"/>
        </w:rPr>
        <w:t>ational benchmark of 5.9%.  A change</w:t>
      </w:r>
      <w:r w:rsidR="00A766E4" w:rsidRPr="00846683">
        <w:rPr>
          <w:rFonts w:ascii="Arial" w:hAnsi="Arial" w:cs="Arial"/>
        </w:rPr>
        <w:t xml:space="preserve"> in</w:t>
      </w:r>
      <w:r w:rsidR="00A766E4">
        <w:rPr>
          <w:rFonts w:ascii="Arial" w:hAnsi="Arial" w:cs="Arial"/>
        </w:rPr>
        <w:t xml:space="preserve"> the</w:t>
      </w:r>
      <w:r w:rsidR="00A766E4" w:rsidRPr="00846683">
        <w:rPr>
          <w:rFonts w:ascii="Arial" w:hAnsi="Arial" w:cs="Arial"/>
        </w:rPr>
        <w:t xml:space="preserve"> management arrangements for the employment service </w:t>
      </w:r>
      <w:r>
        <w:rPr>
          <w:rFonts w:ascii="Arial" w:hAnsi="Arial" w:cs="Arial"/>
        </w:rPr>
        <w:t>may</w:t>
      </w:r>
      <w:r w:rsidR="00A766E4" w:rsidRPr="00846683">
        <w:rPr>
          <w:rFonts w:ascii="Arial" w:hAnsi="Arial" w:cs="Arial"/>
        </w:rPr>
        <w:t xml:space="preserve"> provide an opportunity to refocus energies and direction to improve over the next 2 - 3 years depending on the outcome of further service challenge work in this area.</w:t>
      </w:r>
    </w:p>
    <w:p w:rsidR="00EF3F00" w:rsidRPr="00EF3F00" w:rsidRDefault="00EF3F00" w:rsidP="00EF3F00">
      <w:pPr>
        <w:rPr>
          <w:lang w:eastAsia="en-GB"/>
        </w:rPr>
      </w:pPr>
    </w:p>
    <w:p w:rsidR="00AB7002" w:rsidRDefault="00AB7002" w:rsidP="00AB7002">
      <w:pPr>
        <w:pStyle w:val="Heading2"/>
        <w:rPr>
          <w:szCs w:val="32"/>
        </w:rPr>
      </w:pPr>
      <w:r w:rsidRPr="0085231B">
        <w:rPr>
          <w:szCs w:val="32"/>
        </w:rPr>
        <w:t>Lancashire will be the place to prosper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329"/>
        <w:gridCol w:w="2127"/>
        <w:gridCol w:w="1061"/>
        <w:gridCol w:w="1731"/>
        <w:gridCol w:w="1731"/>
        <w:gridCol w:w="1671"/>
        <w:gridCol w:w="2053"/>
      </w:tblGrid>
      <w:tr w:rsidR="00A766E4" w:rsidRPr="00FA30B2" w:rsidTr="006949CD">
        <w:trPr>
          <w:trHeight w:val="436"/>
        </w:trPr>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766E4" w:rsidRPr="00FA30B2" w:rsidRDefault="00A766E4" w:rsidP="00E34EF7">
            <w:pPr>
              <w:pStyle w:val="NoSpacing"/>
              <w:rPr>
                <w:rFonts w:ascii="Arial" w:hAnsi="Arial" w:cs="Arial"/>
                <w:b/>
              </w:rPr>
            </w:pPr>
            <w:r w:rsidRPr="00FA30B2">
              <w:rPr>
                <w:rFonts w:ascii="Arial" w:hAnsi="Arial" w:cs="Arial"/>
                <w:b/>
              </w:rPr>
              <w:t>Performance Indicator</w:t>
            </w:r>
          </w:p>
        </w:tc>
        <w:tc>
          <w:tcPr>
            <w:tcW w:w="1329"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b/>
              </w:rPr>
            </w:pPr>
            <w:r w:rsidRPr="00FA30B2">
              <w:rPr>
                <w:rFonts w:ascii="Arial" w:hAnsi="Arial" w:cs="Arial"/>
                <w:b/>
              </w:rPr>
              <w:t>Frequency</w:t>
            </w:r>
          </w:p>
        </w:tc>
        <w:tc>
          <w:tcPr>
            <w:tcW w:w="2127"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sidRPr="00FA30B2">
              <w:rPr>
                <w:rFonts w:ascii="Arial" w:hAnsi="Arial" w:cs="Arial"/>
                <w:b/>
              </w:rPr>
              <w:t xml:space="preserve">Directorate </w:t>
            </w:r>
          </w:p>
        </w:tc>
        <w:tc>
          <w:tcPr>
            <w:tcW w:w="1061"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Pr>
                <w:rFonts w:ascii="Arial" w:hAnsi="Arial" w:cs="Arial"/>
                <w:b/>
              </w:rPr>
              <w:t>Good is</w:t>
            </w:r>
          </w:p>
        </w:tc>
        <w:tc>
          <w:tcPr>
            <w:tcW w:w="1731"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Pr>
                <w:rFonts w:ascii="Arial" w:hAnsi="Arial" w:cs="Arial"/>
                <w:b/>
              </w:rPr>
              <w:t>Q1 (April –June)</w:t>
            </w:r>
          </w:p>
        </w:tc>
        <w:tc>
          <w:tcPr>
            <w:tcW w:w="1731"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Pr>
                <w:rFonts w:ascii="Arial" w:hAnsi="Arial" w:cs="Arial"/>
                <w:b/>
              </w:rPr>
              <w:t>Q2 (July- Sep)</w:t>
            </w:r>
          </w:p>
        </w:tc>
        <w:tc>
          <w:tcPr>
            <w:tcW w:w="1671"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2053"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b/>
              </w:rPr>
            </w:pPr>
            <w:r w:rsidRPr="00FA30B2">
              <w:rPr>
                <w:rFonts w:ascii="Arial" w:hAnsi="Arial" w:cs="Arial"/>
                <w:b/>
              </w:rPr>
              <w:t>Target</w:t>
            </w:r>
          </w:p>
        </w:tc>
      </w:tr>
      <w:tr w:rsidR="00A766E4" w:rsidRPr="00250B77" w:rsidTr="006949CD">
        <w:trPr>
          <w:trHeight w:val="1337"/>
        </w:trPr>
        <w:tc>
          <w:tcPr>
            <w:tcW w:w="2331"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rPr>
            </w:pPr>
            <w:r w:rsidRPr="00FA30B2">
              <w:rPr>
                <w:rFonts w:ascii="Arial" w:hAnsi="Arial" w:cs="Arial"/>
              </w:rPr>
              <w:t>Number of Rosebud loans provided to new or existing businesses</w:t>
            </w:r>
          </w:p>
        </w:tc>
        <w:tc>
          <w:tcPr>
            <w:tcW w:w="1329"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rPr>
            </w:pPr>
            <w:r w:rsidRPr="00FA30B2">
              <w:rPr>
                <w:rFonts w:ascii="Arial" w:hAnsi="Arial" w:cs="Arial"/>
              </w:rPr>
              <w:t>Quarterly</w:t>
            </w:r>
          </w:p>
        </w:tc>
        <w:tc>
          <w:tcPr>
            <w:tcW w:w="2127"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1061"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r>
              <w:rPr>
                <w:rFonts w:ascii="Arial" w:hAnsi="Arial" w:cs="Arial"/>
              </w:rPr>
              <w:t>On target</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66E4" w:rsidRPr="00892865" w:rsidRDefault="00A766E4" w:rsidP="00E34EF7">
            <w:pPr>
              <w:pStyle w:val="NoSpacing"/>
              <w:rPr>
                <w:rFonts w:ascii="Arial" w:hAnsi="Arial" w:cs="Arial"/>
              </w:rPr>
            </w:pPr>
            <w:r>
              <w:rPr>
                <w:rFonts w:ascii="Arial" w:hAnsi="Arial" w:cs="Arial"/>
              </w:rPr>
              <w:t>Indicator measured from July 2019.</w:t>
            </w:r>
          </w:p>
        </w:tc>
        <w:tc>
          <w:tcPr>
            <w:tcW w:w="1731" w:type="dxa"/>
            <w:tcBorders>
              <w:top w:val="single" w:sz="4" w:space="0" w:color="auto"/>
              <w:left w:val="single" w:sz="4" w:space="0" w:color="auto"/>
              <w:bottom w:val="single" w:sz="4" w:space="0" w:color="auto"/>
              <w:right w:val="single" w:sz="4" w:space="0" w:color="auto"/>
            </w:tcBorders>
            <w:shd w:val="clear" w:color="auto" w:fill="FF0000"/>
          </w:tcPr>
          <w:p w:rsidR="00A766E4" w:rsidRPr="0058536A" w:rsidRDefault="00A766E4" w:rsidP="00E34EF7">
            <w:pPr>
              <w:pStyle w:val="NoSpacing"/>
              <w:rPr>
                <w:rFonts w:ascii="Arial" w:hAnsi="Arial" w:cs="Arial"/>
                <w:color w:val="FFFFFF" w:themeColor="background1"/>
              </w:rPr>
            </w:pPr>
          </w:p>
          <w:p w:rsidR="00A766E4" w:rsidRPr="0058536A" w:rsidRDefault="00A766E4" w:rsidP="00E34EF7">
            <w:pPr>
              <w:pStyle w:val="NoSpacing"/>
              <w:rPr>
                <w:rFonts w:ascii="Arial" w:hAnsi="Arial" w:cs="Arial"/>
                <w:color w:val="FFFFFF" w:themeColor="background1"/>
              </w:rPr>
            </w:pPr>
            <w:r w:rsidRPr="0058536A">
              <w:rPr>
                <w:rFonts w:ascii="Arial" w:hAnsi="Arial" w:cs="Arial"/>
                <w:color w:val="FFFFFF" w:themeColor="background1"/>
              </w:rPr>
              <w:t xml:space="preserve">£100,000 -  </w:t>
            </w:r>
          </w:p>
          <w:p w:rsidR="00A766E4" w:rsidRPr="0058536A" w:rsidRDefault="00A766E4" w:rsidP="00E34EF7">
            <w:pPr>
              <w:pStyle w:val="NoSpacing"/>
              <w:rPr>
                <w:rFonts w:ascii="Arial" w:hAnsi="Arial" w:cs="Arial"/>
                <w:color w:val="FFFFFF" w:themeColor="background1"/>
              </w:rPr>
            </w:pPr>
            <w:r w:rsidRPr="0058536A">
              <w:rPr>
                <w:rFonts w:ascii="Arial" w:hAnsi="Arial" w:cs="Arial"/>
                <w:color w:val="FFFFFF" w:themeColor="background1"/>
              </w:rPr>
              <w:t>1 investment</w:t>
            </w:r>
          </w:p>
        </w:tc>
        <w:tc>
          <w:tcPr>
            <w:tcW w:w="1671" w:type="dxa"/>
            <w:tcBorders>
              <w:top w:val="single" w:sz="4" w:space="0" w:color="auto"/>
              <w:left w:val="single" w:sz="4" w:space="0" w:color="auto"/>
              <w:bottom w:val="single" w:sz="4" w:space="0" w:color="auto"/>
              <w:right w:val="single" w:sz="4" w:space="0" w:color="auto"/>
            </w:tcBorders>
            <w:shd w:val="clear" w:color="auto" w:fill="FF0000"/>
          </w:tcPr>
          <w:p w:rsidR="00A766E4" w:rsidRPr="0058536A" w:rsidRDefault="00A766E4" w:rsidP="00E34EF7">
            <w:pPr>
              <w:pStyle w:val="NoSpacing"/>
              <w:rPr>
                <w:rFonts w:ascii="Arial" w:hAnsi="Arial" w:cs="Arial"/>
                <w:color w:val="FFFFFF" w:themeColor="background1"/>
              </w:rPr>
            </w:pPr>
          </w:p>
          <w:p w:rsidR="00A766E4" w:rsidRPr="0058536A" w:rsidRDefault="00A766E4" w:rsidP="00E34EF7">
            <w:pPr>
              <w:pStyle w:val="NoSpacing"/>
              <w:rPr>
                <w:rFonts w:ascii="Arial" w:hAnsi="Arial" w:cs="Arial"/>
                <w:color w:val="FFFFFF" w:themeColor="background1"/>
              </w:rPr>
            </w:pPr>
            <w:r w:rsidRPr="0058536A">
              <w:rPr>
                <w:rFonts w:ascii="Arial" w:hAnsi="Arial" w:cs="Arial"/>
                <w:color w:val="FFFFFF" w:themeColor="background1"/>
              </w:rPr>
              <w:t>£155,000 - 4 investments</w:t>
            </w:r>
          </w:p>
        </w:tc>
        <w:tc>
          <w:tcPr>
            <w:tcW w:w="2053" w:type="dxa"/>
            <w:tcBorders>
              <w:top w:val="single" w:sz="4" w:space="0" w:color="auto"/>
              <w:left w:val="single" w:sz="4" w:space="0" w:color="auto"/>
              <w:bottom w:val="single" w:sz="4" w:space="0" w:color="auto"/>
              <w:right w:val="single" w:sz="4" w:space="0" w:color="auto"/>
            </w:tcBorders>
          </w:tcPr>
          <w:p w:rsidR="00A766E4" w:rsidRPr="00250B77" w:rsidRDefault="00A766E4" w:rsidP="00E34EF7">
            <w:pPr>
              <w:pStyle w:val="NoSpacing"/>
              <w:rPr>
                <w:rFonts w:ascii="Arial" w:hAnsi="Arial" w:cs="Arial"/>
              </w:rPr>
            </w:pPr>
            <w:r w:rsidRPr="00AB4748">
              <w:rPr>
                <w:rFonts w:ascii="Arial" w:hAnsi="Arial" w:cs="Arial"/>
              </w:rPr>
              <w:t>5 year target is £11.25m covering 150 investments (July 2019 - June 2024)</w:t>
            </w:r>
          </w:p>
        </w:tc>
      </w:tr>
      <w:tr w:rsidR="00A766E4" w:rsidRPr="00FA30B2" w:rsidTr="006949CD">
        <w:trPr>
          <w:trHeight w:val="760"/>
        </w:trPr>
        <w:tc>
          <w:tcPr>
            <w:tcW w:w="2331"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rPr>
            </w:pPr>
            <w:r w:rsidRPr="00FA30B2">
              <w:rPr>
                <w:rFonts w:ascii="Arial" w:hAnsi="Arial" w:cs="Arial"/>
              </w:rPr>
              <w:t>Number of jobs created by B</w:t>
            </w:r>
            <w:r>
              <w:rPr>
                <w:rFonts w:ascii="Arial" w:hAnsi="Arial" w:cs="Arial"/>
              </w:rPr>
              <w:t>oost</w:t>
            </w:r>
          </w:p>
        </w:tc>
        <w:tc>
          <w:tcPr>
            <w:tcW w:w="1329"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i/>
              </w:rPr>
            </w:pPr>
            <w:r w:rsidRPr="00FA30B2">
              <w:rPr>
                <w:rFonts w:ascii="Arial" w:hAnsi="Arial" w:cs="Arial"/>
              </w:rPr>
              <w:t>Quarterly</w:t>
            </w:r>
          </w:p>
        </w:tc>
        <w:tc>
          <w:tcPr>
            <w:tcW w:w="2127"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1061"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r>
              <w:rPr>
                <w:rFonts w:ascii="Arial" w:hAnsi="Arial" w:cs="Arial"/>
              </w:rPr>
              <w:t>On target</w:t>
            </w:r>
          </w:p>
        </w:tc>
        <w:tc>
          <w:tcPr>
            <w:tcW w:w="1731" w:type="dxa"/>
            <w:tcBorders>
              <w:top w:val="nil"/>
              <w:left w:val="single" w:sz="4" w:space="0" w:color="auto"/>
              <w:bottom w:val="single" w:sz="4" w:space="0" w:color="auto"/>
              <w:right w:val="nil"/>
            </w:tcBorders>
            <w:shd w:val="clear" w:color="auto" w:fill="F7CAAC" w:themeFill="accent2" w:themeFillTint="66"/>
            <w:vAlign w:val="center"/>
          </w:tcPr>
          <w:p w:rsidR="00A766E4" w:rsidRPr="00892865" w:rsidRDefault="00A766E4" w:rsidP="00E34EF7">
            <w:pPr>
              <w:pStyle w:val="NoSpacing"/>
              <w:rPr>
                <w:rFonts w:ascii="Arial" w:hAnsi="Arial" w:cs="Arial"/>
              </w:rPr>
            </w:pPr>
            <w:r>
              <w:rPr>
                <w:rFonts w:ascii="Arial" w:hAnsi="Arial" w:cs="Arial"/>
              </w:rPr>
              <w:t>19.94 jobs - Target 25</w:t>
            </w:r>
          </w:p>
        </w:tc>
        <w:tc>
          <w:tcPr>
            <w:tcW w:w="173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Default="00A766E4" w:rsidP="00E34EF7">
            <w:pPr>
              <w:pStyle w:val="NoSpacing"/>
              <w:rPr>
                <w:rFonts w:ascii="Arial" w:hAnsi="Arial" w:cs="Arial"/>
              </w:rPr>
            </w:pPr>
          </w:p>
          <w:p w:rsidR="00A766E4" w:rsidRPr="00892865" w:rsidRDefault="00A766E4" w:rsidP="00E34EF7">
            <w:pPr>
              <w:pStyle w:val="NoSpacing"/>
              <w:rPr>
                <w:rFonts w:ascii="Arial" w:hAnsi="Arial" w:cs="Arial"/>
              </w:rPr>
            </w:pPr>
            <w:r w:rsidRPr="00892865">
              <w:rPr>
                <w:rFonts w:ascii="Arial" w:hAnsi="Arial" w:cs="Arial"/>
              </w:rPr>
              <w:t>117 jobs</w:t>
            </w:r>
            <w:r>
              <w:rPr>
                <w:rFonts w:ascii="Arial" w:hAnsi="Arial" w:cs="Arial"/>
              </w:rPr>
              <w:t xml:space="preserve"> -</w:t>
            </w:r>
            <w:r w:rsidRPr="00892865">
              <w:rPr>
                <w:rFonts w:ascii="Arial" w:hAnsi="Arial" w:cs="Arial"/>
              </w:rPr>
              <w:t xml:space="preserve"> Target 50</w:t>
            </w:r>
          </w:p>
        </w:tc>
        <w:tc>
          <w:tcPr>
            <w:tcW w:w="16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r>
              <w:rPr>
                <w:rFonts w:ascii="Arial" w:hAnsi="Arial" w:cs="Arial"/>
              </w:rPr>
              <w:t>164.44 - Target 120</w:t>
            </w:r>
          </w:p>
        </w:tc>
        <w:tc>
          <w:tcPr>
            <w:tcW w:w="2053"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r w:rsidRPr="00FA30B2">
              <w:rPr>
                <w:rFonts w:ascii="Arial" w:hAnsi="Arial" w:cs="Arial"/>
              </w:rPr>
              <w:t>1</w:t>
            </w:r>
            <w:r>
              <w:rPr>
                <w:rFonts w:ascii="Arial" w:hAnsi="Arial" w:cs="Arial"/>
              </w:rPr>
              <w:t>,</w:t>
            </w:r>
            <w:r w:rsidRPr="00FA30B2">
              <w:rPr>
                <w:rFonts w:ascii="Arial" w:hAnsi="Arial" w:cs="Arial"/>
              </w:rPr>
              <w:t>000 jo</w:t>
            </w:r>
            <w:r>
              <w:rPr>
                <w:rFonts w:ascii="Arial" w:hAnsi="Arial" w:cs="Arial"/>
              </w:rPr>
              <w:t>bs target (Jan 2019 - Dec 2022)</w:t>
            </w:r>
          </w:p>
        </w:tc>
      </w:tr>
      <w:tr w:rsidR="00A766E4" w:rsidRPr="00FA30B2" w:rsidTr="006949CD">
        <w:trPr>
          <w:trHeight w:val="874"/>
        </w:trPr>
        <w:tc>
          <w:tcPr>
            <w:tcW w:w="2331"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rPr>
            </w:pPr>
            <w:r w:rsidRPr="00FA30B2">
              <w:rPr>
                <w:rFonts w:ascii="Arial" w:hAnsi="Arial" w:cs="Arial"/>
              </w:rPr>
              <w:t>New businesses established</w:t>
            </w:r>
            <w:r>
              <w:rPr>
                <w:rFonts w:ascii="Arial" w:hAnsi="Arial" w:cs="Arial"/>
              </w:rPr>
              <w:t xml:space="preserve"> by Boost</w:t>
            </w:r>
          </w:p>
        </w:tc>
        <w:tc>
          <w:tcPr>
            <w:tcW w:w="1329" w:type="dxa"/>
            <w:tcBorders>
              <w:top w:val="single" w:sz="4" w:space="0" w:color="auto"/>
              <w:left w:val="single" w:sz="4" w:space="0" w:color="auto"/>
              <w:bottom w:val="single" w:sz="4" w:space="0" w:color="auto"/>
              <w:right w:val="single" w:sz="4" w:space="0" w:color="auto"/>
            </w:tcBorders>
            <w:hideMark/>
          </w:tcPr>
          <w:p w:rsidR="00A766E4" w:rsidRPr="00FA30B2" w:rsidRDefault="00A766E4" w:rsidP="00E34EF7">
            <w:pPr>
              <w:pStyle w:val="NoSpacing"/>
              <w:rPr>
                <w:rFonts w:ascii="Arial" w:hAnsi="Arial" w:cs="Arial"/>
              </w:rPr>
            </w:pPr>
            <w:r w:rsidRPr="00FA30B2">
              <w:rPr>
                <w:rFonts w:ascii="Arial" w:hAnsi="Arial" w:cs="Arial"/>
              </w:rPr>
              <w:t>Quarterly</w:t>
            </w:r>
          </w:p>
        </w:tc>
        <w:tc>
          <w:tcPr>
            <w:tcW w:w="2127" w:type="dxa"/>
            <w:tcBorders>
              <w:top w:val="single" w:sz="4" w:space="0" w:color="auto"/>
              <w:left w:val="single" w:sz="4" w:space="0" w:color="auto"/>
              <w:bottom w:val="single" w:sz="4" w:space="0" w:color="auto"/>
              <w:right w:val="single" w:sz="4" w:space="0" w:color="auto"/>
            </w:tcBorders>
          </w:tcPr>
          <w:p w:rsidR="00A766E4" w:rsidRPr="00FA30B2" w:rsidRDefault="00A766E4" w:rsidP="00E34EF7">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1061"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r>
              <w:rPr>
                <w:rFonts w:ascii="Arial" w:hAnsi="Arial" w:cs="Arial"/>
              </w:rPr>
              <w:t>On target</w:t>
            </w:r>
          </w:p>
        </w:tc>
        <w:tc>
          <w:tcPr>
            <w:tcW w:w="1731" w:type="dxa"/>
            <w:tcBorders>
              <w:top w:val="nil"/>
              <w:left w:val="single" w:sz="4" w:space="0" w:color="auto"/>
              <w:bottom w:val="single" w:sz="4" w:space="0" w:color="auto"/>
              <w:right w:val="nil"/>
            </w:tcBorders>
            <w:shd w:val="clear" w:color="auto" w:fill="F7CAAC" w:themeFill="accent2" w:themeFillTint="66"/>
            <w:vAlign w:val="center"/>
          </w:tcPr>
          <w:p w:rsidR="00A766E4" w:rsidRPr="0068577B" w:rsidRDefault="00A766E4" w:rsidP="00E34EF7">
            <w:pPr>
              <w:pStyle w:val="NoSpacing"/>
              <w:rPr>
                <w:rFonts w:ascii="Arial" w:hAnsi="Arial" w:cs="Arial"/>
              </w:rPr>
            </w:pPr>
            <w:r w:rsidRPr="0068577B">
              <w:rPr>
                <w:rFonts w:ascii="Arial" w:hAnsi="Arial" w:cs="Arial"/>
              </w:rPr>
              <w:t xml:space="preserve">22 new businesses </w:t>
            </w:r>
            <w:r>
              <w:rPr>
                <w:rFonts w:ascii="Arial" w:hAnsi="Arial" w:cs="Arial"/>
              </w:rPr>
              <w:t>-</w:t>
            </w:r>
            <w:r w:rsidRPr="0068577B">
              <w:rPr>
                <w:rFonts w:ascii="Arial" w:hAnsi="Arial" w:cs="Arial"/>
              </w:rPr>
              <w:t>Target 25</w:t>
            </w:r>
          </w:p>
        </w:tc>
        <w:tc>
          <w:tcPr>
            <w:tcW w:w="173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Pr="0068577B" w:rsidRDefault="00A766E4" w:rsidP="00E34EF7">
            <w:pPr>
              <w:pStyle w:val="NoSpacing"/>
              <w:rPr>
                <w:rFonts w:ascii="Arial" w:hAnsi="Arial" w:cs="Arial"/>
              </w:rPr>
            </w:pPr>
          </w:p>
          <w:p w:rsidR="00A766E4" w:rsidRPr="0068577B" w:rsidRDefault="00A766E4" w:rsidP="00E34EF7">
            <w:pPr>
              <w:pStyle w:val="NoSpacing"/>
              <w:rPr>
                <w:rFonts w:ascii="Arial" w:hAnsi="Arial" w:cs="Arial"/>
              </w:rPr>
            </w:pPr>
            <w:r w:rsidRPr="0068577B">
              <w:rPr>
                <w:rFonts w:ascii="Arial" w:hAnsi="Arial" w:cs="Arial"/>
              </w:rPr>
              <w:t>30 new businesses Target 30</w:t>
            </w:r>
          </w:p>
        </w:tc>
        <w:tc>
          <w:tcPr>
            <w:tcW w:w="16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766E4" w:rsidRDefault="00A766E4" w:rsidP="00E34EF7">
            <w:pPr>
              <w:pStyle w:val="NoSpacing"/>
              <w:rPr>
                <w:rFonts w:ascii="Arial" w:hAnsi="Arial" w:cs="Arial"/>
                <w:highlight w:val="yellow"/>
              </w:rPr>
            </w:pPr>
          </w:p>
          <w:p w:rsidR="00A766E4" w:rsidRPr="007C439D" w:rsidRDefault="00A766E4" w:rsidP="00E34EF7">
            <w:pPr>
              <w:pStyle w:val="NoSpacing"/>
              <w:rPr>
                <w:rFonts w:ascii="Arial" w:hAnsi="Arial" w:cs="Arial"/>
                <w:highlight w:val="yellow"/>
              </w:rPr>
            </w:pPr>
            <w:r w:rsidRPr="006C7D09">
              <w:rPr>
                <w:rFonts w:ascii="Arial" w:hAnsi="Arial" w:cs="Arial"/>
              </w:rPr>
              <w:t xml:space="preserve">29 </w:t>
            </w:r>
            <w:r>
              <w:rPr>
                <w:rFonts w:ascii="Arial" w:hAnsi="Arial" w:cs="Arial"/>
              </w:rPr>
              <w:t>new businesses- T</w:t>
            </w:r>
            <w:r w:rsidRPr="006C7D09">
              <w:rPr>
                <w:rFonts w:ascii="Arial" w:hAnsi="Arial" w:cs="Arial"/>
              </w:rPr>
              <w:t>arget 20</w:t>
            </w:r>
          </w:p>
        </w:tc>
        <w:tc>
          <w:tcPr>
            <w:tcW w:w="2053" w:type="dxa"/>
            <w:tcBorders>
              <w:top w:val="single" w:sz="4" w:space="0" w:color="auto"/>
              <w:left w:val="single" w:sz="4" w:space="0" w:color="auto"/>
              <w:bottom w:val="single" w:sz="4" w:space="0" w:color="auto"/>
              <w:right w:val="single" w:sz="4" w:space="0" w:color="auto"/>
            </w:tcBorders>
          </w:tcPr>
          <w:p w:rsidR="00A766E4" w:rsidRDefault="00A766E4" w:rsidP="00E34EF7">
            <w:pPr>
              <w:pStyle w:val="NoSpacing"/>
              <w:rPr>
                <w:rFonts w:ascii="Arial" w:hAnsi="Arial" w:cs="Arial"/>
              </w:rPr>
            </w:pPr>
          </w:p>
          <w:p w:rsidR="00A766E4" w:rsidRPr="00FA30B2" w:rsidRDefault="00A766E4" w:rsidP="00E34EF7">
            <w:pPr>
              <w:pStyle w:val="NoSpacing"/>
              <w:rPr>
                <w:rFonts w:ascii="Arial" w:hAnsi="Arial" w:cs="Arial"/>
              </w:rPr>
            </w:pPr>
            <w:r w:rsidRPr="00FA30B2">
              <w:rPr>
                <w:rFonts w:ascii="Arial" w:hAnsi="Arial" w:cs="Arial"/>
              </w:rPr>
              <w:t>200 new businesses Jan 2019 - Dec 2022</w:t>
            </w:r>
          </w:p>
        </w:tc>
      </w:tr>
    </w:tbl>
    <w:p w:rsidR="00A766E4" w:rsidRDefault="00A766E4" w:rsidP="00A766E4">
      <w:pPr>
        <w:rPr>
          <w:lang w:eastAsia="en-GB"/>
        </w:rPr>
      </w:pPr>
    </w:p>
    <w:p w:rsidR="00A766E4" w:rsidRDefault="00A766E4" w:rsidP="00323412">
      <w:pPr>
        <w:pStyle w:val="NoSpacing"/>
        <w:jc w:val="both"/>
        <w:rPr>
          <w:rFonts w:ascii="Arial" w:hAnsi="Arial" w:cs="Arial"/>
        </w:rPr>
      </w:pPr>
      <w:r w:rsidRPr="001F120A">
        <w:rPr>
          <w:rFonts w:ascii="Arial" w:hAnsi="Arial" w:cs="Arial"/>
          <w:b/>
        </w:rPr>
        <w:lastRenderedPageBreak/>
        <w:t xml:space="preserve">Rosebud </w:t>
      </w:r>
      <w:r w:rsidR="00DD1E30">
        <w:rPr>
          <w:rFonts w:ascii="Arial" w:hAnsi="Arial" w:cs="Arial"/>
          <w:b/>
        </w:rPr>
        <w:t xml:space="preserve">loans scheme </w:t>
      </w:r>
      <w:r>
        <w:rPr>
          <w:rFonts w:ascii="Arial" w:hAnsi="Arial" w:cs="Arial"/>
        </w:rPr>
        <w:t xml:space="preserve">was </w:t>
      </w:r>
      <w:r w:rsidRPr="0014359E">
        <w:rPr>
          <w:rFonts w:ascii="Arial" w:hAnsi="Arial" w:cs="Arial"/>
        </w:rPr>
        <w:t xml:space="preserve">renewed </w:t>
      </w:r>
      <w:r>
        <w:rPr>
          <w:rFonts w:ascii="Arial" w:hAnsi="Arial" w:cs="Arial"/>
        </w:rPr>
        <w:t xml:space="preserve">in </w:t>
      </w:r>
      <w:r w:rsidR="00DD1E30">
        <w:rPr>
          <w:rFonts w:ascii="Arial" w:hAnsi="Arial" w:cs="Arial"/>
        </w:rPr>
        <w:t>July 2019 with</w:t>
      </w:r>
      <w:r w:rsidRPr="0014359E">
        <w:rPr>
          <w:rFonts w:ascii="Arial" w:hAnsi="Arial" w:cs="Arial"/>
        </w:rPr>
        <w:t xml:space="preserve"> £2.25m to be invested </w:t>
      </w:r>
      <w:r w:rsidR="00323412">
        <w:rPr>
          <w:rFonts w:ascii="Arial" w:hAnsi="Arial" w:cs="Arial"/>
        </w:rPr>
        <w:t>each</w:t>
      </w:r>
      <w:r w:rsidRPr="0014359E">
        <w:rPr>
          <w:rFonts w:ascii="Arial" w:hAnsi="Arial" w:cs="Arial"/>
        </w:rPr>
        <w:t xml:space="preserve"> year</w:t>
      </w:r>
      <w:r w:rsidR="00323412">
        <w:rPr>
          <w:rFonts w:ascii="Arial" w:hAnsi="Arial" w:cs="Arial"/>
        </w:rPr>
        <w:t xml:space="preserve"> for the next 5 years,</w:t>
      </w:r>
      <w:r w:rsidRPr="0014359E">
        <w:rPr>
          <w:rFonts w:ascii="Arial" w:hAnsi="Arial" w:cs="Arial"/>
        </w:rPr>
        <w:t xml:space="preserve"> covering 30 investments</w:t>
      </w:r>
      <w:r w:rsidR="00323412">
        <w:rPr>
          <w:rFonts w:ascii="Arial" w:hAnsi="Arial" w:cs="Arial"/>
        </w:rPr>
        <w:t xml:space="preserve">. The scheme will run from </w:t>
      </w:r>
      <w:r w:rsidRPr="0014359E">
        <w:rPr>
          <w:rFonts w:ascii="Arial" w:hAnsi="Arial" w:cs="Arial"/>
        </w:rPr>
        <w:t>1</w:t>
      </w:r>
      <w:r w:rsidRPr="001C1829">
        <w:rPr>
          <w:rFonts w:ascii="Arial" w:hAnsi="Arial" w:cs="Arial"/>
          <w:vertAlign w:val="superscript"/>
        </w:rPr>
        <w:t>st</w:t>
      </w:r>
      <w:r>
        <w:rPr>
          <w:rFonts w:ascii="Arial" w:hAnsi="Arial" w:cs="Arial"/>
        </w:rPr>
        <w:t xml:space="preserve"> </w:t>
      </w:r>
      <w:r w:rsidRPr="0014359E">
        <w:rPr>
          <w:rFonts w:ascii="Arial" w:hAnsi="Arial" w:cs="Arial"/>
        </w:rPr>
        <w:t>July 20</w:t>
      </w:r>
      <w:r w:rsidR="00323412">
        <w:rPr>
          <w:rFonts w:ascii="Arial" w:hAnsi="Arial" w:cs="Arial"/>
        </w:rPr>
        <w:t xml:space="preserve">19 to </w:t>
      </w:r>
      <w:r>
        <w:rPr>
          <w:rFonts w:ascii="Arial" w:hAnsi="Arial" w:cs="Arial"/>
        </w:rPr>
        <w:t>30</w:t>
      </w:r>
      <w:r w:rsidRPr="001C1829">
        <w:rPr>
          <w:rFonts w:ascii="Arial" w:hAnsi="Arial" w:cs="Arial"/>
          <w:vertAlign w:val="superscript"/>
        </w:rPr>
        <w:t>th</w:t>
      </w:r>
      <w:r>
        <w:rPr>
          <w:rFonts w:ascii="Arial" w:hAnsi="Arial" w:cs="Arial"/>
        </w:rPr>
        <w:t xml:space="preserve"> June 2024.</w:t>
      </w:r>
    </w:p>
    <w:p w:rsidR="00210103" w:rsidRPr="006D2B1F" w:rsidRDefault="00210103" w:rsidP="00210103">
      <w:pPr>
        <w:rPr>
          <w:rFonts w:ascii="Calibri" w:eastAsiaTheme="minorHAnsi" w:hAnsi="Calibri" w:cs="Calibri"/>
          <w:color w:val="auto"/>
          <w:sz w:val="22"/>
          <w:szCs w:val="22"/>
        </w:rPr>
      </w:pPr>
      <w:r w:rsidRPr="006D2B1F">
        <w:rPr>
          <w:color w:val="auto"/>
          <w:sz w:val="22"/>
          <w:szCs w:val="22"/>
        </w:rPr>
        <w:t>The reaso</w:t>
      </w:r>
      <w:r w:rsidR="00323412">
        <w:rPr>
          <w:color w:val="auto"/>
          <w:sz w:val="22"/>
          <w:szCs w:val="22"/>
        </w:rPr>
        <w:t>ns for the underperformance in q</w:t>
      </w:r>
      <w:r w:rsidRPr="006D2B1F">
        <w:rPr>
          <w:color w:val="auto"/>
          <w:sz w:val="22"/>
          <w:szCs w:val="22"/>
        </w:rPr>
        <w:t xml:space="preserve">uarter </w:t>
      </w:r>
      <w:r w:rsidR="006D2B1F">
        <w:rPr>
          <w:color w:val="auto"/>
          <w:sz w:val="22"/>
          <w:szCs w:val="22"/>
        </w:rPr>
        <w:t>2</w:t>
      </w:r>
      <w:r w:rsidR="006D2B1F" w:rsidRPr="006D2B1F">
        <w:rPr>
          <w:color w:val="auto"/>
          <w:sz w:val="22"/>
          <w:szCs w:val="22"/>
        </w:rPr>
        <w:t xml:space="preserve"> </w:t>
      </w:r>
      <w:r w:rsidR="00323412">
        <w:rPr>
          <w:color w:val="auto"/>
          <w:sz w:val="22"/>
          <w:szCs w:val="22"/>
        </w:rPr>
        <w:t>and part of q</w:t>
      </w:r>
      <w:r w:rsidR="006D2B1F">
        <w:rPr>
          <w:color w:val="auto"/>
          <w:sz w:val="22"/>
          <w:szCs w:val="22"/>
        </w:rPr>
        <w:t>uarter 3</w:t>
      </w:r>
      <w:r w:rsidR="006D2B1F" w:rsidRPr="006D2B1F">
        <w:rPr>
          <w:color w:val="auto"/>
          <w:sz w:val="22"/>
          <w:szCs w:val="22"/>
        </w:rPr>
        <w:t xml:space="preserve"> is primarily due to </w:t>
      </w:r>
      <w:r w:rsidRPr="006D2B1F">
        <w:rPr>
          <w:color w:val="auto"/>
          <w:sz w:val="22"/>
          <w:szCs w:val="22"/>
        </w:rPr>
        <w:t>the contract mo</w:t>
      </w:r>
      <w:r w:rsidR="00323412">
        <w:rPr>
          <w:color w:val="auto"/>
          <w:sz w:val="22"/>
          <w:szCs w:val="22"/>
        </w:rPr>
        <w:t>ving to a new delivery partner. </w:t>
      </w:r>
      <w:r w:rsidRPr="006D2B1F">
        <w:rPr>
          <w:color w:val="auto"/>
          <w:sz w:val="22"/>
          <w:szCs w:val="22"/>
        </w:rPr>
        <w:t>This interruption caused</w:t>
      </w:r>
      <w:r w:rsidR="00323412">
        <w:rPr>
          <w:color w:val="auto"/>
          <w:sz w:val="22"/>
          <w:szCs w:val="22"/>
        </w:rPr>
        <w:t xml:space="preserve"> a</w:t>
      </w:r>
      <w:r w:rsidRPr="006D2B1F">
        <w:rPr>
          <w:color w:val="auto"/>
          <w:sz w:val="22"/>
          <w:szCs w:val="22"/>
        </w:rPr>
        <w:t xml:space="preserve"> drop in performance but </w:t>
      </w:r>
      <w:r w:rsidR="00323412">
        <w:rPr>
          <w:color w:val="auto"/>
          <w:sz w:val="22"/>
          <w:szCs w:val="22"/>
        </w:rPr>
        <w:t>there is now a</w:t>
      </w:r>
      <w:r w:rsidRPr="006D2B1F">
        <w:rPr>
          <w:color w:val="auto"/>
          <w:sz w:val="22"/>
          <w:szCs w:val="22"/>
        </w:rPr>
        <w:t xml:space="preserve"> return to profile.  From J</w:t>
      </w:r>
      <w:r w:rsidR="00323412">
        <w:rPr>
          <w:color w:val="auto"/>
          <w:sz w:val="22"/>
          <w:szCs w:val="22"/>
        </w:rPr>
        <w:t>uly to November 2019 there was one</w:t>
      </w:r>
      <w:r w:rsidRPr="006D2B1F">
        <w:rPr>
          <w:color w:val="auto"/>
          <w:sz w:val="22"/>
          <w:szCs w:val="22"/>
        </w:rPr>
        <w:t xml:space="preserve"> investment at </w:t>
      </w:r>
      <w:r w:rsidR="00323412">
        <w:rPr>
          <w:color w:val="auto"/>
          <w:sz w:val="22"/>
          <w:szCs w:val="22"/>
        </w:rPr>
        <w:t>£</w:t>
      </w:r>
      <w:r w:rsidRPr="006D2B1F">
        <w:rPr>
          <w:color w:val="auto"/>
          <w:sz w:val="22"/>
          <w:szCs w:val="22"/>
        </w:rPr>
        <w:t xml:space="preserve">100k (11% of profile achieved pro rata). However, performance to end of January 2020 shows 7 investments at </w:t>
      </w:r>
      <w:r w:rsidR="00323412">
        <w:rPr>
          <w:color w:val="auto"/>
          <w:sz w:val="22"/>
          <w:szCs w:val="22"/>
        </w:rPr>
        <w:t>£</w:t>
      </w:r>
      <w:r w:rsidRPr="006D2B1F">
        <w:rPr>
          <w:color w:val="auto"/>
          <w:sz w:val="22"/>
          <w:szCs w:val="22"/>
        </w:rPr>
        <w:t xml:space="preserve">480k (37% pro rata of the performance profile). In addition a further 6 investments are at approval/underwriting stage valued at </w:t>
      </w:r>
      <w:r w:rsidR="00323412">
        <w:rPr>
          <w:color w:val="auto"/>
          <w:sz w:val="22"/>
          <w:szCs w:val="22"/>
        </w:rPr>
        <w:t>£</w:t>
      </w:r>
      <w:r w:rsidRPr="006D2B1F">
        <w:rPr>
          <w:color w:val="auto"/>
          <w:sz w:val="22"/>
          <w:szCs w:val="22"/>
        </w:rPr>
        <w:t xml:space="preserve">1.1m taking total anticipated investment to 14 deals at </w:t>
      </w:r>
      <w:r w:rsidR="00323412">
        <w:rPr>
          <w:color w:val="auto"/>
          <w:sz w:val="22"/>
          <w:szCs w:val="22"/>
        </w:rPr>
        <w:t>£</w:t>
      </w:r>
      <w:r w:rsidRPr="006D2B1F">
        <w:rPr>
          <w:color w:val="auto"/>
          <w:sz w:val="22"/>
          <w:szCs w:val="22"/>
        </w:rPr>
        <w:t xml:space="preserve">1.58m by end of February 2020 (105% pro rata). To achieve the full pro rata profile by 31st March 2020 a total investment figure of £1.68m needs to be achieved, requiring a further </w:t>
      </w:r>
      <w:r w:rsidR="00323412">
        <w:rPr>
          <w:color w:val="auto"/>
          <w:sz w:val="22"/>
          <w:szCs w:val="22"/>
        </w:rPr>
        <w:t>£</w:t>
      </w:r>
      <w:r w:rsidRPr="006D2B1F">
        <w:rPr>
          <w:color w:val="auto"/>
          <w:sz w:val="22"/>
          <w:szCs w:val="22"/>
        </w:rPr>
        <w:t>100k additional deal flow, current pipeline</w:t>
      </w:r>
      <w:r w:rsidR="006D2B1F" w:rsidRPr="006D2B1F">
        <w:rPr>
          <w:color w:val="auto"/>
          <w:sz w:val="22"/>
          <w:szCs w:val="22"/>
        </w:rPr>
        <w:t xml:space="preserve"> investments stand</w:t>
      </w:r>
      <w:r w:rsidRPr="006D2B1F">
        <w:rPr>
          <w:color w:val="auto"/>
          <w:sz w:val="22"/>
          <w:szCs w:val="22"/>
        </w:rPr>
        <w:t xml:space="preserve"> at </w:t>
      </w:r>
      <w:r w:rsidR="006D2B1F" w:rsidRPr="006D2B1F">
        <w:rPr>
          <w:color w:val="auto"/>
          <w:sz w:val="22"/>
          <w:szCs w:val="22"/>
        </w:rPr>
        <w:t>a value of £</w:t>
      </w:r>
      <w:r w:rsidRPr="006D2B1F">
        <w:rPr>
          <w:color w:val="auto"/>
          <w:sz w:val="22"/>
          <w:szCs w:val="22"/>
        </w:rPr>
        <w:t>695</w:t>
      </w:r>
      <w:r w:rsidR="006D2B1F" w:rsidRPr="006D2B1F">
        <w:rPr>
          <w:color w:val="auto"/>
          <w:sz w:val="22"/>
          <w:szCs w:val="22"/>
        </w:rPr>
        <w:t>, 000</w:t>
      </w:r>
      <w:r w:rsidRPr="006D2B1F">
        <w:rPr>
          <w:color w:val="auto"/>
          <w:sz w:val="22"/>
          <w:szCs w:val="22"/>
        </w:rPr>
        <w:t>.</w:t>
      </w:r>
    </w:p>
    <w:p w:rsidR="00A766E4" w:rsidRDefault="00A766E4" w:rsidP="00A766E4">
      <w:pPr>
        <w:pStyle w:val="NoSpacing"/>
        <w:rPr>
          <w:rFonts w:ascii="Arial" w:hAnsi="Arial" w:cs="Arial"/>
          <w:b/>
        </w:rPr>
      </w:pPr>
    </w:p>
    <w:p w:rsidR="00A766E4" w:rsidRDefault="00323412" w:rsidP="00323412">
      <w:pPr>
        <w:pStyle w:val="NoSpacing"/>
        <w:jc w:val="both"/>
        <w:rPr>
          <w:rFonts w:ascii="Arial" w:hAnsi="Arial" w:cs="Arial"/>
        </w:rPr>
      </w:pPr>
      <w:r>
        <w:rPr>
          <w:rFonts w:ascii="Arial" w:hAnsi="Arial" w:cs="Arial"/>
          <w:b/>
        </w:rPr>
        <w:t>Number</w:t>
      </w:r>
      <w:r w:rsidR="00A766E4" w:rsidRPr="001F120A">
        <w:rPr>
          <w:rFonts w:ascii="Arial" w:hAnsi="Arial" w:cs="Arial"/>
          <w:b/>
        </w:rPr>
        <w:t xml:space="preserve"> of jobs created</w:t>
      </w:r>
      <w:r>
        <w:rPr>
          <w:rFonts w:ascii="Arial" w:hAnsi="Arial" w:cs="Arial"/>
          <w:b/>
        </w:rPr>
        <w:t xml:space="preserve">. </w:t>
      </w:r>
      <w:r w:rsidRPr="00323412">
        <w:rPr>
          <w:rFonts w:ascii="Arial" w:hAnsi="Arial" w:cs="Arial"/>
        </w:rPr>
        <w:t>The</w:t>
      </w:r>
      <w:r w:rsidR="00A766E4" w:rsidRPr="0014359E">
        <w:rPr>
          <w:rFonts w:ascii="Arial" w:hAnsi="Arial" w:cs="Arial"/>
        </w:rPr>
        <w:t xml:space="preserve"> target </w:t>
      </w:r>
      <w:r w:rsidR="00A766E4">
        <w:rPr>
          <w:rFonts w:ascii="Arial" w:hAnsi="Arial" w:cs="Arial"/>
        </w:rPr>
        <w:t xml:space="preserve">for </w:t>
      </w:r>
      <w:r w:rsidR="00A766E4" w:rsidRPr="0014359E">
        <w:rPr>
          <w:rFonts w:ascii="Arial" w:hAnsi="Arial" w:cs="Arial"/>
        </w:rPr>
        <w:t>Jan 2019 to December 2022</w:t>
      </w:r>
      <w:r w:rsidR="00A766E4">
        <w:rPr>
          <w:rFonts w:ascii="Arial" w:hAnsi="Arial" w:cs="Arial"/>
        </w:rPr>
        <w:t xml:space="preserve"> is </w:t>
      </w:r>
      <w:r w:rsidR="00A766E4" w:rsidRPr="0014359E">
        <w:rPr>
          <w:rFonts w:ascii="Arial" w:hAnsi="Arial" w:cs="Arial"/>
        </w:rPr>
        <w:t xml:space="preserve">1,000. Different </w:t>
      </w:r>
      <w:r w:rsidR="00A766E4">
        <w:rPr>
          <w:rFonts w:ascii="Arial" w:hAnsi="Arial" w:cs="Arial"/>
        </w:rPr>
        <w:t xml:space="preserve">targets for </w:t>
      </w:r>
      <w:r w:rsidR="00A766E4" w:rsidRPr="0014359E">
        <w:rPr>
          <w:rFonts w:ascii="Arial" w:hAnsi="Arial" w:cs="Arial"/>
        </w:rPr>
        <w:t xml:space="preserve">each </w:t>
      </w:r>
      <w:r w:rsidR="00A766E4">
        <w:rPr>
          <w:rFonts w:ascii="Arial" w:hAnsi="Arial" w:cs="Arial"/>
        </w:rPr>
        <w:t>quarter dependent on activity performance rising over the course of the metric to meet the target.</w:t>
      </w:r>
    </w:p>
    <w:p w:rsidR="00A766E4" w:rsidRDefault="00A766E4" w:rsidP="00323412">
      <w:pPr>
        <w:pStyle w:val="NoSpacing"/>
        <w:jc w:val="both"/>
        <w:rPr>
          <w:rFonts w:ascii="Arial" w:hAnsi="Arial" w:cs="Arial"/>
          <w:b/>
        </w:rPr>
      </w:pPr>
    </w:p>
    <w:p w:rsidR="00A766E4" w:rsidRDefault="00A766E4" w:rsidP="00323412">
      <w:pPr>
        <w:pStyle w:val="NoSpacing"/>
        <w:jc w:val="both"/>
        <w:rPr>
          <w:rFonts w:ascii="Arial" w:hAnsi="Arial" w:cs="Arial"/>
        </w:rPr>
      </w:pPr>
      <w:r w:rsidRPr="001F120A">
        <w:rPr>
          <w:rFonts w:ascii="Arial" w:hAnsi="Arial" w:cs="Arial"/>
          <w:b/>
        </w:rPr>
        <w:t>New Businesses established</w:t>
      </w:r>
      <w:r>
        <w:rPr>
          <w:rFonts w:ascii="Arial" w:hAnsi="Arial" w:cs="Arial"/>
        </w:rPr>
        <w:t xml:space="preserve">. </w:t>
      </w:r>
      <w:r w:rsidR="00323412">
        <w:rPr>
          <w:rFonts w:ascii="Arial" w:hAnsi="Arial" w:cs="Arial"/>
        </w:rPr>
        <w:t>The t</w:t>
      </w:r>
      <w:r>
        <w:rPr>
          <w:rFonts w:ascii="Arial" w:hAnsi="Arial" w:cs="Arial"/>
        </w:rPr>
        <w:t>arget for 2019-2022 is to establish 200 new businesses</w:t>
      </w:r>
      <w:r w:rsidRPr="0014359E">
        <w:rPr>
          <w:rFonts w:ascii="Arial" w:hAnsi="Arial" w:cs="Arial"/>
        </w:rPr>
        <w:t xml:space="preserve">. Again different </w:t>
      </w:r>
      <w:r>
        <w:rPr>
          <w:rFonts w:ascii="Arial" w:hAnsi="Arial" w:cs="Arial"/>
        </w:rPr>
        <w:t xml:space="preserve">targets </w:t>
      </w:r>
      <w:r w:rsidRPr="0014359E">
        <w:rPr>
          <w:rFonts w:ascii="Arial" w:hAnsi="Arial" w:cs="Arial"/>
        </w:rPr>
        <w:t>each quarter,</w:t>
      </w:r>
      <w:r>
        <w:rPr>
          <w:rFonts w:ascii="Arial" w:hAnsi="Arial" w:cs="Arial"/>
        </w:rPr>
        <w:t xml:space="preserve"> dependent on activity and take up with a</w:t>
      </w:r>
      <w:r w:rsidRPr="0014359E">
        <w:rPr>
          <w:rFonts w:ascii="Arial" w:hAnsi="Arial" w:cs="Arial"/>
        </w:rPr>
        <w:t xml:space="preserve"> gradual increase</w:t>
      </w:r>
      <w:r>
        <w:rPr>
          <w:rFonts w:ascii="Arial" w:hAnsi="Arial" w:cs="Arial"/>
        </w:rPr>
        <w:t xml:space="preserve"> over the time of the metric in order to meet the target</w:t>
      </w:r>
      <w:r w:rsidRPr="0014359E">
        <w:rPr>
          <w:rFonts w:ascii="Arial" w:hAnsi="Arial" w:cs="Arial"/>
        </w:rPr>
        <w:t>.</w:t>
      </w:r>
    </w:p>
    <w:p w:rsidR="00EF3F00" w:rsidRPr="00A766E4" w:rsidRDefault="00EF3F00" w:rsidP="00323412">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329"/>
        <w:gridCol w:w="2216"/>
        <w:gridCol w:w="7981"/>
      </w:tblGrid>
      <w:tr w:rsidR="001C6468" w:rsidRPr="00FA30B2" w:rsidTr="006949CD">
        <w:trPr>
          <w:trHeight w:val="623"/>
        </w:trPr>
        <w:tc>
          <w:tcPr>
            <w:tcW w:w="2508" w:type="dxa"/>
            <w:tcBorders>
              <w:top w:val="single" w:sz="4" w:space="0" w:color="auto"/>
              <w:left w:val="single" w:sz="4" w:space="0" w:color="auto"/>
              <w:bottom w:val="single" w:sz="4" w:space="0" w:color="auto"/>
              <w:right w:val="single" w:sz="4" w:space="0" w:color="auto"/>
            </w:tcBorders>
          </w:tcPr>
          <w:p w:rsidR="001C6468" w:rsidRPr="00FA30B2" w:rsidRDefault="001C6468" w:rsidP="001C6468">
            <w:pPr>
              <w:pStyle w:val="NoSpacing"/>
              <w:rPr>
                <w:rFonts w:ascii="Arial" w:hAnsi="Arial" w:cs="Arial"/>
                <w:b/>
              </w:rPr>
            </w:pPr>
            <w:r w:rsidRPr="00FA30B2">
              <w:rPr>
                <w:rFonts w:ascii="Arial" w:hAnsi="Arial" w:cs="Arial"/>
                <w:b/>
              </w:rPr>
              <w:t>Performance Indicator</w:t>
            </w:r>
          </w:p>
        </w:tc>
        <w:tc>
          <w:tcPr>
            <w:tcW w:w="1329" w:type="dxa"/>
            <w:tcBorders>
              <w:top w:val="single" w:sz="4" w:space="0" w:color="auto"/>
              <w:left w:val="single" w:sz="4" w:space="0" w:color="auto"/>
              <w:bottom w:val="single" w:sz="4" w:space="0" w:color="auto"/>
              <w:right w:val="single" w:sz="4" w:space="0" w:color="auto"/>
            </w:tcBorders>
          </w:tcPr>
          <w:p w:rsidR="001C6468" w:rsidRPr="00FA30B2" w:rsidRDefault="001C6468" w:rsidP="001C6468">
            <w:pPr>
              <w:pStyle w:val="NoSpacing"/>
              <w:rPr>
                <w:rFonts w:ascii="Arial" w:hAnsi="Arial" w:cs="Arial"/>
                <w:b/>
              </w:rPr>
            </w:pPr>
            <w:r w:rsidRPr="00FA30B2">
              <w:rPr>
                <w:rFonts w:ascii="Arial" w:hAnsi="Arial" w:cs="Arial"/>
                <w:b/>
              </w:rPr>
              <w:t>Frequency</w:t>
            </w:r>
          </w:p>
        </w:tc>
        <w:tc>
          <w:tcPr>
            <w:tcW w:w="2216" w:type="dxa"/>
            <w:tcBorders>
              <w:top w:val="single" w:sz="4" w:space="0" w:color="auto"/>
              <w:left w:val="single" w:sz="4" w:space="0" w:color="auto"/>
              <w:bottom w:val="single" w:sz="4" w:space="0" w:color="auto"/>
              <w:right w:val="single" w:sz="4" w:space="0" w:color="auto"/>
            </w:tcBorders>
          </w:tcPr>
          <w:p w:rsidR="001C6468" w:rsidRPr="00FA30B2" w:rsidRDefault="001C6468" w:rsidP="001C6468">
            <w:pPr>
              <w:pStyle w:val="NoSpacing"/>
              <w:rPr>
                <w:rFonts w:ascii="Arial" w:hAnsi="Arial" w:cs="Arial"/>
                <w:b/>
              </w:rPr>
            </w:pPr>
            <w:r w:rsidRPr="00FA30B2">
              <w:rPr>
                <w:rFonts w:ascii="Arial" w:hAnsi="Arial" w:cs="Arial"/>
                <w:b/>
              </w:rPr>
              <w:t xml:space="preserve">Directorate </w:t>
            </w:r>
          </w:p>
        </w:tc>
        <w:tc>
          <w:tcPr>
            <w:tcW w:w="7981" w:type="dxa"/>
            <w:tcBorders>
              <w:top w:val="single" w:sz="4" w:space="0" w:color="auto"/>
              <w:left w:val="single" w:sz="4" w:space="0" w:color="auto"/>
              <w:bottom w:val="single" w:sz="4" w:space="0" w:color="auto"/>
              <w:right w:val="single" w:sz="4" w:space="0" w:color="auto"/>
            </w:tcBorders>
          </w:tcPr>
          <w:p w:rsidR="001C6468" w:rsidRPr="001C6468" w:rsidRDefault="001C6468" w:rsidP="001C6468">
            <w:pPr>
              <w:pStyle w:val="NoSpacing"/>
              <w:spacing w:line="252" w:lineRule="auto"/>
              <w:rPr>
                <w:rFonts w:ascii="Arial" w:eastAsiaTheme="minorHAnsi" w:hAnsi="Arial" w:cs="Arial"/>
                <w:b/>
                <w:bCs/>
              </w:rPr>
            </w:pPr>
            <w:r w:rsidRPr="00FA30B2">
              <w:rPr>
                <w:rFonts w:ascii="Arial" w:hAnsi="Arial" w:cs="Arial"/>
                <w:b/>
                <w:bCs/>
              </w:rPr>
              <w:t>C</w:t>
            </w:r>
            <w:r>
              <w:rPr>
                <w:rFonts w:ascii="Arial" w:hAnsi="Arial" w:cs="Arial"/>
                <w:b/>
                <w:bCs/>
              </w:rPr>
              <w:t>urrent Performance</w:t>
            </w:r>
          </w:p>
        </w:tc>
      </w:tr>
      <w:tr w:rsidR="00AB7002" w:rsidRPr="00FA30B2" w:rsidTr="006949CD">
        <w:trPr>
          <w:trHeight w:val="886"/>
        </w:trPr>
        <w:tc>
          <w:tcPr>
            <w:tcW w:w="2508" w:type="dxa"/>
            <w:tcBorders>
              <w:top w:val="single" w:sz="4" w:space="0" w:color="auto"/>
              <w:left w:val="single" w:sz="4" w:space="0" w:color="auto"/>
              <w:bottom w:val="single" w:sz="4" w:space="0" w:color="auto"/>
              <w:right w:val="single" w:sz="4" w:space="0" w:color="auto"/>
            </w:tcBorders>
            <w:hideMark/>
          </w:tcPr>
          <w:p w:rsidR="00AB7002" w:rsidRPr="00FA30B2" w:rsidRDefault="00AB7002" w:rsidP="00AB7002">
            <w:pPr>
              <w:pStyle w:val="NoSpacing"/>
              <w:rPr>
                <w:rFonts w:ascii="Arial" w:hAnsi="Arial" w:cs="Arial"/>
              </w:rPr>
            </w:pPr>
            <w:r w:rsidRPr="00FA30B2">
              <w:rPr>
                <w:rFonts w:ascii="Arial" w:hAnsi="Arial" w:cs="Arial"/>
              </w:rPr>
              <w:t xml:space="preserve">Sustainable transport and travel </w:t>
            </w:r>
          </w:p>
        </w:tc>
        <w:tc>
          <w:tcPr>
            <w:tcW w:w="1329" w:type="dxa"/>
            <w:tcBorders>
              <w:top w:val="single" w:sz="4" w:space="0" w:color="auto"/>
              <w:left w:val="single" w:sz="4" w:space="0" w:color="auto"/>
              <w:bottom w:val="single" w:sz="4" w:space="0" w:color="auto"/>
              <w:right w:val="single" w:sz="4" w:space="0" w:color="auto"/>
            </w:tcBorders>
            <w:hideMark/>
          </w:tcPr>
          <w:p w:rsidR="00AB7002" w:rsidRPr="00FA30B2" w:rsidRDefault="00AB7002" w:rsidP="00AB7002">
            <w:pPr>
              <w:pStyle w:val="NoSpacing"/>
              <w:rPr>
                <w:rFonts w:ascii="Arial" w:hAnsi="Arial" w:cs="Arial"/>
              </w:rPr>
            </w:pPr>
            <w:r w:rsidRPr="00FA30B2">
              <w:rPr>
                <w:rFonts w:ascii="Arial" w:hAnsi="Arial" w:cs="Arial"/>
              </w:rPr>
              <w:t>Annual</w:t>
            </w:r>
          </w:p>
        </w:tc>
        <w:tc>
          <w:tcPr>
            <w:tcW w:w="2216" w:type="dxa"/>
            <w:tcBorders>
              <w:top w:val="single" w:sz="4" w:space="0" w:color="auto"/>
              <w:left w:val="single" w:sz="4" w:space="0" w:color="auto"/>
              <w:bottom w:val="single" w:sz="4" w:space="0" w:color="auto"/>
              <w:right w:val="single" w:sz="4" w:space="0" w:color="auto"/>
            </w:tcBorders>
          </w:tcPr>
          <w:p w:rsidR="00AB7002" w:rsidRPr="00FA30B2" w:rsidRDefault="00AB7002" w:rsidP="00AB7002">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7981" w:type="dxa"/>
            <w:tcBorders>
              <w:top w:val="single" w:sz="4" w:space="0" w:color="auto"/>
              <w:left w:val="single" w:sz="4" w:space="0" w:color="auto"/>
              <w:bottom w:val="single" w:sz="4" w:space="0" w:color="auto"/>
              <w:right w:val="single" w:sz="4" w:space="0" w:color="auto"/>
            </w:tcBorders>
          </w:tcPr>
          <w:p w:rsidR="00AB7002" w:rsidRPr="00FA30B2" w:rsidRDefault="00AB7002" w:rsidP="00AB7002">
            <w:pPr>
              <w:pStyle w:val="NoSpacing"/>
              <w:rPr>
                <w:rFonts w:ascii="Arial" w:hAnsi="Arial" w:cs="Arial"/>
              </w:rPr>
            </w:pPr>
            <w:r w:rsidRPr="00FA30B2">
              <w:rPr>
                <w:rFonts w:ascii="Arial" w:hAnsi="Arial" w:cs="Arial"/>
              </w:rPr>
              <w:t>Annual Report – schedule to be confirmed</w:t>
            </w:r>
          </w:p>
        </w:tc>
      </w:tr>
    </w:tbl>
    <w:p w:rsidR="006D2B1F" w:rsidRDefault="006D2B1F" w:rsidP="005B4AFF">
      <w:pPr>
        <w:rPr>
          <w:lang w:eastAsia="en-GB"/>
        </w:rPr>
      </w:pPr>
    </w:p>
    <w:p w:rsidR="006D2B1F" w:rsidRDefault="006D2B1F" w:rsidP="005B4AFF">
      <w:pPr>
        <w:rPr>
          <w:lang w:eastAsia="en-GB"/>
        </w:rPr>
      </w:pPr>
    </w:p>
    <w:p w:rsidR="006D2B1F" w:rsidRDefault="006D2B1F" w:rsidP="005B4AFF">
      <w:pPr>
        <w:rPr>
          <w:lang w:eastAsia="en-GB"/>
        </w:rPr>
      </w:pPr>
    </w:p>
    <w:p w:rsidR="006D2B1F" w:rsidRDefault="006D2B1F" w:rsidP="005B4AFF">
      <w:pPr>
        <w:rPr>
          <w:lang w:eastAsia="en-GB"/>
        </w:rPr>
      </w:pPr>
    </w:p>
    <w:p w:rsidR="006D2B1F" w:rsidRDefault="006D2B1F" w:rsidP="005B4AFF">
      <w:pPr>
        <w:rPr>
          <w:lang w:eastAsia="en-GB"/>
        </w:rPr>
      </w:pPr>
    </w:p>
    <w:p w:rsidR="00323412" w:rsidRDefault="00323412" w:rsidP="005B4AFF">
      <w:pPr>
        <w:rPr>
          <w:lang w:eastAsia="en-GB"/>
        </w:rPr>
      </w:pPr>
    </w:p>
    <w:p w:rsidR="006D2B1F" w:rsidRPr="005B4AFF" w:rsidRDefault="006D2B1F" w:rsidP="005B4AFF">
      <w:pPr>
        <w:rPr>
          <w:lang w:eastAsia="en-GB"/>
        </w:rPr>
      </w:pPr>
    </w:p>
    <w:p w:rsidR="005B4AFF" w:rsidRDefault="005B4AFF" w:rsidP="005B4AFF">
      <w:pPr>
        <w:pStyle w:val="Heading2"/>
        <w:rPr>
          <w:szCs w:val="32"/>
        </w:rPr>
      </w:pPr>
      <w:r w:rsidRPr="0085231B">
        <w:rPr>
          <w:szCs w:val="32"/>
        </w:rPr>
        <w:lastRenderedPageBreak/>
        <w:t>Lancashire will be the place to visit</w:t>
      </w:r>
    </w:p>
    <w:p w:rsidR="00943BB6" w:rsidRPr="00943BB6" w:rsidRDefault="00943BB6" w:rsidP="00943BB6">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1C6468" w:rsidRPr="00FA30B2" w:rsidTr="00EC2CD4">
        <w:tc>
          <w:tcPr>
            <w:tcW w:w="4536" w:type="dxa"/>
            <w:tcBorders>
              <w:top w:val="single" w:sz="4" w:space="0" w:color="auto"/>
              <w:left w:val="single" w:sz="4" w:space="0" w:color="auto"/>
              <w:bottom w:val="single" w:sz="4" w:space="0" w:color="auto"/>
              <w:right w:val="single" w:sz="4" w:space="0" w:color="auto"/>
            </w:tcBorders>
            <w:hideMark/>
          </w:tcPr>
          <w:p w:rsidR="001C6468" w:rsidRPr="00FA30B2" w:rsidRDefault="001C6468" w:rsidP="00AB7002">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1C6468" w:rsidRPr="00FA30B2" w:rsidRDefault="001C6468" w:rsidP="00AB7002">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1C6468" w:rsidRPr="00FA30B2" w:rsidRDefault="001C6468" w:rsidP="00AB7002">
            <w:pPr>
              <w:pStyle w:val="NoSpacing"/>
              <w:rPr>
                <w:rFonts w:ascii="Arial" w:hAnsi="Arial" w:cs="Arial"/>
                <w:b/>
              </w:rPr>
            </w:pPr>
            <w:r w:rsidRPr="00FA30B2">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rsidR="001C6468" w:rsidRDefault="001C6468" w:rsidP="001C6468">
            <w:pPr>
              <w:pStyle w:val="NoSpacing"/>
              <w:spacing w:line="252" w:lineRule="auto"/>
              <w:rPr>
                <w:rFonts w:ascii="Arial" w:eastAsiaTheme="minorHAnsi" w:hAnsi="Arial" w:cs="Arial"/>
                <w:b/>
                <w:bCs/>
              </w:rPr>
            </w:pPr>
            <w:r w:rsidRPr="00FA30B2">
              <w:rPr>
                <w:rFonts w:ascii="Arial" w:hAnsi="Arial" w:cs="Arial"/>
                <w:b/>
                <w:bCs/>
              </w:rPr>
              <w:t>Current Performance</w:t>
            </w:r>
          </w:p>
          <w:p w:rsidR="001C6468" w:rsidRPr="001C6468" w:rsidRDefault="001C6468" w:rsidP="001C6468">
            <w:pPr>
              <w:pStyle w:val="NoSpacing"/>
              <w:spacing w:line="252" w:lineRule="auto"/>
              <w:rPr>
                <w:rFonts w:ascii="Arial" w:eastAsiaTheme="minorHAnsi" w:hAnsi="Arial" w:cs="Arial"/>
                <w:b/>
                <w:bCs/>
              </w:rPr>
            </w:pPr>
          </w:p>
        </w:tc>
      </w:tr>
      <w:tr w:rsidR="005B4AFF" w:rsidRPr="00FA30B2" w:rsidTr="00EC2CD4">
        <w:tc>
          <w:tcPr>
            <w:tcW w:w="4536" w:type="dxa"/>
            <w:tcBorders>
              <w:top w:val="single" w:sz="4" w:space="0" w:color="auto"/>
              <w:left w:val="single" w:sz="4" w:space="0" w:color="auto"/>
              <w:bottom w:val="single" w:sz="4" w:space="0" w:color="auto"/>
              <w:right w:val="single" w:sz="4" w:space="0" w:color="auto"/>
            </w:tcBorders>
            <w:hideMark/>
          </w:tcPr>
          <w:p w:rsidR="005B4AFF" w:rsidRPr="00FA30B2" w:rsidRDefault="005B4AFF" w:rsidP="00AB7002">
            <w:pPr>
              <w:pStyle w:val="NoSpacing"/>
              <w:rPr>
                <w:rFonts w:ascii="Arial" w:hAnsi="Arial" w:cs="Arial"/>
              </w:rPr>
            </w:pPr>
            <w:r w:rsidRPr="00FA30B2">
              <w:rPr>
                <w:rFonts w:ascii="Arial" w:hAnsi="Arial" w:cs="Arial"/>
              </w:rPr>
              <w:t>N</w:t>
            </w:r>
            <w:r>
              <w:rPr>
                <w:rFonts w:ascii="Arial" w:hAnsi="Arial" w:cs="Arial"/>
              </w:rPr>
              <w:t>umber of visito</w:t>
            </w:r>
            <w:bookmarkStart w:id="0" w:name="_GoBack"/>
            <w:bookmarkEnd w:id="0"/>
            <w:r>
              <w:rPr>
                <w:rFonts w:ascii="Arial" w:hAnsi="Arial" w:cs="Arial"/>
              </w:rPr>
              <w:t>rs to Lancashire</w:t>
            </w:r>
          </w:p>
        </w:tc>
        <w:tc>
          <w:tcPr>
            <w:tcW w:w="1418" w:type="dxa"/>
            <w:tcBorders>
              <w:top w:val="single" w:sz="4" w:space="0" w:color="auto"/>
              <w:left w:val="single" w:sz="4" w:space="0" w:color="auto"/>
              <w:bottom w:val="single" w:sz="4" w:space="0" w:color="auto"/>
              <w:right w:val="single" w:sz="4" w:space="0" w:color="auto"/>
            </w:tcBorders>
            <w:hideMark/>
          </w:tcPr>
          <w:p w:rsidR="005B4AFF" w:rsidRPr="00FA30B2" w:rsidRDefault="005B4AFF" w:rsidP="00AB7002">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2B3909" w:rsidRDefault="005B4AFF" w:rsidP="00AB7002">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237" w:type="dxa"/>
            <w:vMerge w:val="restart"/>
            <w:tcBorders>
              <w:top w:val="nil"/>
              <w:left w:val="nil"/>
              <w:right w:val="single" w:sz="4" w:space="0" w:color="auto"/>
            </w:tcBorders>
          </w:tcPr>
          <w:p w:rsidR="005B4AFF" w:rsidRPr="00FA30B2" w:rsidRDefault="005B4AFF" w:rsidP="00AB7002">
            <w:pPr>
              <w:pStyle w:val="NoSpacing"/>
              <w:rPr>
                <w:rFonts w:ascii="Arial" w:hAnsi="Arial" w:cs="Arial"/>
              </w:rPr>
            </w:pPr>
            <w:r w:rsidRPr="00FA30B2">
              <w:rPr>
                <w:rFonts w:ascii="Arial" w:hAnsi="Arial" w:cs="Arial"/>
              </w:rPr>
              <w:t>Targets being reviewed as part of a new tourism growth strategy. Annual Report – scheduled to be confirmed.</w:t>
            </w:r>
          </w:p>
        </w:tc>
      </w:tr>
      <w:tr w:rsidR="005B4AFF" w:rsidRPr="00FA30B2" w:rsidTr="00EC2CD4">
        <w:tc>
          <w:tcPr>
            <w:tcW w:w="4536" w:type="dxa"/>
            <w:tcBorders>
              <w:top w:val="single" w:sz="4" w:space="0" w:color="auto"/>
              <w:left w:val="single" w:sz="4" w:space="0" w:color="auto"/>
              <w:bottom w:val="single" w:sz="4" w:space="0" w:color="auto"/>
              <w:right w:val="single" w:sz="4" w:space="0" w:color="auto"/>
            </w:tcBorders>
            <w:hideMark/>
          </w:tcPr>
          <w:p w:rsidR="005B4AFF" w:rsidRPr="00FA30B2" w:rsidRDefault="005B4AFF" w:rsidP="00AB7002">
            <w:pPr>
              <w:pStyle w:val="NoSpacing"/>
              <w:rPr>
                <w:rFonts w:ascii="Arial" w:hAnsi="Arial" w:cs="Arial"/>
              </w:rPr>
            </w:pPr>
            <w:r w:rsidRPr="00FA30B2">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rsidR="005B4AFF" w:rsidRPr="00FA30B2" w:rsidRDefault="005B4AFF" w:rsidP="00AB7002">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2B3909" w:rsidRDefault="005B4AFF" w:rsidP="00AB7002">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237" w:type="dxa"/>
            <w:vMerge/>
            <w:tcBorders>
              <w:left w:val="nil"/>
              <w:right w:val="single" w:sz="4" w:space="0" w:color="auto"/>
            </w:tcBorders>
          </w:tcPr>
          <w:p w:rsidR="005B4AFF" w:rsidRPr="00FA30B2" w:rsidRDefault="005B4AFF" w:rsidP="00AB7002">
            <w:pPr>
              <w:pStyle w:val="NoSpacing"/>
              <w:rPr>
                <w:rFonts w:ascii="Arial" w:hAnsi="Arial" w:cs="Arial"/>
              </w:rPr>
            </w:pPr>
          </w:p>
        </w:tc>
      </w:tr>
      <w:tr w:rsidR="005B4AFF" w:rsidRPr="00FA30B2" w:rsidTr="00EC2CD4">
        <w:tc>
          <w:tcPr>
            <w:tcW w:w="4536" w:type="dxa"/>
            <w:tcBorders>
              <w:top w:val="single" w:sz="4" w:space="0" w:color="auto"/>
              <w:left w:val="single" w:sz="4" w:space="0" w:color="auto"/>
              <w:bottom w:val="single" w:sz="4" w:space="0" w:color="auto"/>
              <w:right w:val="single" w:sz="4" w:space="0" w:color="auto"/>
            </w:tcBorders>
            <w:hideMark/>
          </w:tcPr>
          <w:p w:rsidR="005B4AFF" w:rsidRPr="00FA30B2" w:rsidRDefault="005B4AFF" w:rsidP="00AB7002">
            <w:pPr>
              <w:pStyle w:val="NoSpacing"/>
              <w:rPr>
                <w:rFonts w:ascii="Arial" w:hAnsi="Arial" w:cs="Arial"/>
              </w:rPr>
            </w:pPr>
            <w:r w:rsidRPr="00FA30B2">
              <w:rPr>
                <w:rFonts w:ascii="Arial" w:hAnsi="Arial" w:cs="Arial"/>
              </w:rPr>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rsidR="005B4AFF" w:rsidRPr="00FA30B2" w:rsidRDefault="005B4AFF" w:rsidP="00AB7002">
            <w:pPr>
              <w:pStyle w:val="NoSpacing"/>
              <w:rPr>
                <w:rFonts w:ascii="Arial" w:hAnsi="Arial" w:cs="Arial"/>
              </w:rPr>
            </w:pPr>
            <w:r w:rsidRPr="00FA30B2">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2B3909" w:rsidRDefault="005B4AFF" w:rsidP="00AB7002">
            <w:pPr>
              <w:pStyle w:val="NoSpacing"/>
              <w:rPr>
                <w:rFonts w:ascii="Arial" w:hAnsi="Arial" w:cs="Arial"/>
                <w:color w:val="FF0000"/>
              </w:rPr>
            </w:pPr>
            <w:r w:rsidRPr="00FA30B2">
              <w:rPr>
                <w:rFonts w:ascii="Arial" w:hAnsi="Arial" w:cs="Arial"/>
              </w:rPr>
              <w:t>G</w:t>
            </w:r>
            <w:r>
              <w:rPr>
                <w:rFonts w:ascii="Arial" w:hAnsi="Arial" w:cs="Arial"/>
              </w:rPr>
              <w:t>rowth, Environment and Transport</w:t>
            </w:r>
          </w:p>
        </w:tc>
        <w:tc>
          <w:tcPr>
            <w:tcW w:w="6237" w:type="dxa"/>
            <w:vMerge/>
            <w:tcBorders>
              <w:left w:val="nil"/>
              <w:bottom w:val="single" w:sz="8" w:space="0" w:color="auto"/>
              <w:right w:val="single" w:sz="4" w:space="0" w:color="auto"/>
            </w:tcBorders>
          </w:tcPr>
          <w:p w:rsidR="005B4AFF" w:rsidRPr="00FA30B2" w:rsidRDefault="005B4AFF" w:rsidP="00AB7002">
            <w:pPr>
              <w:pStyle w:val="NoSpacing"/>
              <w:rPr>
                <w:rFonts w:ascii="Arial" w:hAnsi="Arial" w:cs="Arial"/>
              </w:rPr>
            </w:pPr>
          </w:p>
        </w:tc>
      </w:tr>
    </w:tbl>
    <w:p w:rsidR="000E3ED3" w:rsidRPr="005B4AFF" w:rsidRDefault="000E3ED3" w:rsidP="005B4AFF"/>
    <w:p w:rsidR="002838F2" w:rsidRDefault="002838F2" w:rsidP="00936BE0">
      <w:pPr>
        <w:pStyle w:val="Heading2"/>
        <w:rPr>
          <w:szCs w:val="32"/>
        </w:rPr>
      </w:pPr>
      <w:r w:rsidRPr="0085231B">
        <w:rPr>
          <w:szCs w:val="32"/>
        </w:rPr>
        <w:t>Lancashire will be the place where everyone acts responsibly</w:t>
      </w:r>
    </w:p>
    <w:p w:rsidR="00943BB6" w:rsidRPr="00943BB6" w:rsidRDefault="00943BB6" w:rsidP="00943BB6">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511"/>
        <w:gridCol w:w="1418"/>
        <w:gridCol w:w="850"/>
        <w:gridCol w:w="1701"/>
        <w:gridCol w:w="1276"/>
        <w:gridCol w:w="1276"/>
        <w:gridCol w:w="1701"/>
        <w:gridCol w:w="1607"/>
      </w:tblGrid>
      <w:tr w:rsidR="0032288D" w:rsidRPr="00FA30B2" w:rsidTr="002A7CA1">
        <w:trPr>
          <w:trHeight w:val="444"/>
        </w:trPr>
        <w:tc>
          <w:tcPr>
            <w:tcW w:w="2694"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b/>
              </w:rPr>
            </w:pPr>
            <w:r w:rsidRPr="00FA30B2">
              <w:rPr>
                <w:rFonts w:ascii="Arial" w:hAnsi="Arial" w:cs="Arial"/>
                <w:b/>
              </w:rPr>
              <w:t>Performance Indicator</w:t>
            </w:r>
          </w:p>
        </w:tc>
        <w:tc>
          <w:tcPr>
            <w:tcW w:w="1511"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b/>
              </w:rPr>
            </w:pPr>
            <w:r w:rsidRPr="00FA30B2">
              <w:rPr>
                <w:rFonts w:ascii="Arial" w:hAnsi="Arial" w:cs="Arial"/>
                <w:b/>
              </w:rPr>
              <w:t>Frequency</w:t>
            </w:r>
          </w:p>
        </w:tc>
        <w:tc>
          <w:tcPr>
            <w:tcW w:w="1418"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b/>
              </w:rPr>
            </w:pPr>
            <w:r w:rsidRPr="00FA30B2">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tcPr>
          <w:p w:rsidR="0032288D" w:rsidRDefault="0032288D" w:rsidP="00E34EF7">
            <w:pPr>
              <w:pStyle w:val="NoSpacing"/>
              <w:rPr>
                <w:rFonts w:ascii="Arial" w:hAnsi="Arial" w:cs="Arial"/>
                <w:b/>
              </w:rPr>
            </w:pPr>
            <w:r>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b/>
              </w:rPr>
            </w:pPr>
            <w:r>
              <w:rPr>
                <w:rFonts w:ascii="Arial" w:hAnsi="Arial" w:cs="Arial"/>
                <w:b/>
              </w:rPr>
              <w:t>2018/19 Performance</w:t>
            </w:r>
          </w:p>
        </w:tc>
        <w:tc>
          <w:tcPr>
            <w:tcW w:w="1276"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b/>
              </w:rPr>
            </w:pPr>
            <w:r>
              <w:rPr>
                <w:rFonts w:ascii="Arial" w:hAnsi="Arial" w:cs="Arial"/>
                <w:b/>
              </w:rPr>
              <w:t xml:space="preserve">Q1 </w:t>
            </w:r>
          </w:p>
        </w:tc>
        <w:tc>
          <w:tcPr>
            <w:tcW w:w="1276"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b/>
              </w:rPr>
            </w:pPr>
            <w:r>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607"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32288D" w:rsidRPr="00FA30B2" w:rsidTr="002A7CA1">
        <w:trPr>
          <w:trHeight w:val="687"/>
        </w:trPr>
        <w:tc>
          <w:tcPr>
            <w:tcW w:w="2694"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rPr>
            </w:pPr>
            <w:r w:rsidRPr="00FA30B2">
              <w:rPr>
                <w:rFonts w:ascii="Arial" w:hAnsi="Arial" w:cs="Arial"/>
              </w:rPr>
              <w:t xml:space="preserve">Improving our population's health and wellbeing </w:t>
            </w:r>
          </w:p>
        </w:tc>
        <w:tc>
          <w:tcPr>
            <w:tcW w:w="1511"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rPr>
            </w:pPr>
            <w:r w:rsidRPr="00FA30B2">
              <w:rPr>
                <w:rFonts w:ascii="Arial" w:hAnsi="Arial" w:cs="Arial"/>
              </w:rPr>
              <w:t>Annual</w:t>
            </w:r>
          </w:p>
        </w:tc>
        <w:tc>
          <w:tcPr>
            <w:tcW w:w="1418"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411" w:type="dxa"/>
            <w:gridSpan w:val="6"/>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rPr>
            </w:pPr>
            <w:r w:rsidRPr="00FA30B2">
              <w:rPr>
                <w:rFonts w:ascii="Arial" w:hAnsi="Arial" w:cs="Arial"/>
              </w:rPr>
              <w:t xml:space="preserve">Annual Report – </w:t>
            </w:r>
            <w:r>
              <w:rPr>
                <w:rFonts w:ascii="Arial" w:hAnsi="Arial" w:cs="Arial"/>
              </w:rPr>
              <w:t xml:space="preserve">report </w:t>
            </w:r>
            <w:r w:rsidRPr="00FA30B2">
              <w:rPr>
                <w:rFonts w:ascii="Arial" w:hAnsi="Arial" w:cs="Arial"/>
              </w:rPr>
              <w:t>schedule</w:t>
            </w:r>
            <w:r>
              <w:rPr>
                <w:rFonts w:ascii="Arial" w:hAnsi="Arial" w:cs="Arial"/>
              </w:rPr>
              <w:t>d</w:t>
            </w:r>
            <w:r w:rsidRPr="00FA30B2">
              <w:rPr>
                <w:rFonts w:ascii="Arial" w:hAnsi="Arial" w:cs="Arial"/>
              </w:rPr>
              <w:t xml:space="preserve"> </w:t>
            </w:r>
            <w:r>
              <w:rPr>
                <w:rFonts w:ascii="Arial" w:hAnsi="Arial" w:cs="Arial"/>
              </w:rPr>
              <w:t>for April 2020 CCPI meeting (</w:t>
            </w:r>
            <w:r w:rsidRPr="00FA30B2">
              <w:rPr>
                <w:rFonts w:ascii="Arial" w:hAnsi="Arial" w:cs="Arial"/>
              </w:rPr>
              <w:t>to be confirmed</w:t>
            </w:r>
            <w:r>
              <w:rPr>
                <w:rFonts w:ascii="Arial" w:hAnsi="Arial" w:cs="Arial"/>
              </w:rPr>
              <w:t>).</w:t>
            </w:r>
          </w:p>
        </w:tc>
      </w:tr>
      <w:tr w:rsidR="0032288D" w:rsidRPr="0080455B" w:rsidTr="002A7CA1">
        <w:trPr>
          <w:trHeight w:val="902"/>
        </w:trPr>
        <w:tc>
          <w:tcPr>
            <w:tcW w:w="2694" w:type="dxa"/>
            <w:tcBorders>
              <w:top w:val="single" w:sz="4" w:space="0" w:color="auto"/>
              <w:left w:val="single" w:sz="4" w:space="0" w:color="auto"/>
              <w:bottom w:val="single" w:sz="4" w:space="0" w:color="auto"/>
              <w:right w:val="single" w:sz="4" w:space="0" w:color="auto"/>
            </w:tcBorders>
            <w:hideMark/>
          </w:tcPr>
          <w:p w:rsidR="0032288D" w:rsidRPr="00511644" w:rsidRDefault="0032288D" w:rsidP="00E34EF7">
            <w:pPr>
              <w:pStyle w:val="NoSpacing"/>
              <w:rPr>
                <w:rFonts w:ascii="Arial" w:hAnsi="Arial" w:cs="Arial"/>
              </w:rPr>
            </w:pPr>
            <w:r w:rsidRPr="00FA30B2">
              <w:rPr>
                <w:rFonts w:ascii="Arial" w:hAnsi="Arial" w:cs="Arial"/>
              </w:rPr>
              <w:t xml:space="preserve">Percentage of older people (65 and over) who were still at home 91 days after discharge from hospital into </w:t>
            </w:r>
            <w:proofErr w:type="spellStart"/>
            <w:r w:rsidRPr="00FA30B2">
              <w:rPr>
                <w:rFonts w:ascii="Arial" w:hAnsi="Arial" w:cs="Arial"/>
              </w:rPr>
              <w:t>reablement</w:t>
            </w:r>
            <w:proofErr w:type="spellEnd"/>
            <w:r w:rsidRPr="00FA30B2">
              <w:rPr>
                <w:rFonts w:ascii="Arial" w:hAnsi="Arial" w:cs="Arial"/>
              </w:rPr>
              <w:t>/rehabilitation services</w:t>
            </w:r>
          </w:p>
        </w:tc>
        <w:tc>
          <w:tcPr>
            <w:tcW w:w="1511"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rPr>
            </w:pPr>
            <w:r w:rsidRPr="00FA30B2">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82.6%</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spacing w:line="360" w:lineRule="auto"/>
              <w:rPr>
                <w:rFonts w:ascii="Arial" w:hAnsi="Arial" w:cs="Arial"/>
              </w:rPr>
            </w:pPr>
            <w:r w:rsidRPr="00007585">
              <w:rPr>
                <w:rFonts w:ascii="Arial" w:hAnsi="Arial" w:cs="Arial"/>
              </w:rPr>
              <w:t>82.0%</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 xml:space="preserve">83.3% </w:t>
            </w:r>
          </w:p>
          <w:p w:rsidR="0032288D" w:rsidRPr="00007585" w:rsidRDefault="0032288D" w:rsidP="00E34EF7">
            <w:pPr>
              <w:pStyle w:val="No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82.7%</w:t>
            </w:r>
          </w:p>
        </w:tc>
        <w:tc>
          <w:tcPr>
            <w:tcW w:w="1607"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87.4%</w:t>
            </w:r>
          </w:p>
        </w:tc>
      </w:tr>
      <w:tr w:rsidR="006D2B1F" w:rsidRPr="0080455B" w:rsidTr="002A7CA1">
        <w:trPr>
          <w:trHeight w:val="67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lastRenderedPageBreak/>
              <w:t>Performance Indicator</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t>Frequency</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D2B1F" w:rsidRDefault="006D2B1F" w:rsidP="006D2B1F">
            <w:pPr>
              <w:pStyle w:val="NoSpacing"/>
              <w:rPr>
                <w:rFonts w:ascii="Arial" w:hAnsi="Arial" w:cs="Arial"/>
                <w:b/>
              </w:rPr>
            </w:pPr>
            <w:r>
              <w:rPr>
                <w:rFonts w:ascii="Arial" w:hAnsi="Arial" w:cs="Arial"/>
                <w:b/>
              </w:rPr>
              <w:t>Good 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2018/19 Performance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 xml:space="preserve">Q1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Q2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6D2B1F" w:rsidRPr="00FA30B2" w:rsidRDefault="006D2B1F" w:rsidP="006D2B1F">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32288D" w:rsidRPr="0080455B" w:rsidTr="002A7CA1">
        <w:trPr>
          <w:trHeight w:val="673"/>
        </w:trPr>
        <w:tc>
          <w:tcPr>
            <w:tcW w:w="2694"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i/>
              </w:rPr>
            </w:pPr>
            <w:r w:rsidRPr="00FA30B2">
              <w:rPr>
                <w:rFonts w:ascii="Arial" w:hAnsi="Arial" w:cs="Arial"/>
              </w:rPr>
              <w:t>Proportion of adults with learning disabilities who live in their own home</w:t>
            </w:r>
          </w:p>
        </w:tc>
        <w:tc>
          <w:tcPr>
            <w:tcW w:w="1511"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i/>
              </w:rPr>
            </w:pPr>
            <w:r w:rsidRPr="00FA30B2">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2288D" w:rsidRPr="00007585" w:rsidRDefault="0032288D" w:rsidP="00E34EF7">
            <w:pPr>
              <w:pStyle w:val="NoSpacing"/>
              <w:rPr>
                <w:rFonts w:ascii="Arial" w:hAnsi="Arial" w:cs="Arial"/>
              </w:rPr>
            </w:pPr>
            <w:r w:rsidRPr="00007585">
              <w:rPr>
                <w:rFonts w:ascii="Arial" w:hAnsi="Arial" w:cs="Arial"/>
              </w:rPr>
              <w:t>84.1%</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2288D" w:rsidRPr="00007585" w:rsidRDefault="0032288D" w:rsidP="00E34EF7">
            <w:pPr>
              <w:pStyle w:val="NoSpacing"/>
              <w:rPr>
                <w:rFonts w:ascii="Arial" w:hAnsi="Arial" w:cs="Arial"/>
              </w:rPr>
            </w:pPr>
            <w:r w:rsidRPr="00007585">
              <w:rPr>
                <w:rFonts w:ascii="Arial" w:hAnsi="Arial" w:cs="Arial"/>
              </w:rPr>
              <w:t>83.4%</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2288D" w:rsidRPr="00007585" w:rsidRDefault="0032288D" w:rsidP="00E34EF7">
            <w:pPr>
              <w:pStyle w:val="NoSpacing"/>
              <w:rPr>
                <w:rFonts w:ascii="Arial" w:hAnsi="Arial" w:cs="Arial"/>
              </w:rPr>
            </w:pPr>
            <w:r w:rsidRPr="00007585">
              <w:rPr>
                <w:rFonts w:ascii="Arial" w:hAnsi="Arial" w:cs="Arial"/>
              </w:rPr>
              <w:t>83.2%</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80.9%</w:t>
            </w:r>
          </w:p>
        </w:tc>
        <w:tc>
          <w:tcPr>
            <w:tcW w:w="1607"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86%</w:t>
            </w:r>
          </w:p>
        </w:tc>
      </w:tr>
      <w:tr w:rsidR="0032288D" w:rsidRPr="0080455B" w:rsidTr="002A7CA1">
        <w:trPr>
          <w:trHeight w:val="673"/>
        </w:trPr>
        <w:tc>
          <w:tcPr>
            <w:tcW w:w="2694"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i/>
              </w:rPr>
            </w:pPr>
            <w:r w:rsidRPr="00FA30B2">
              <w:rPr>
                <w:rFonts w:ascii="Arial" w:hAnsi="Arial" w:cs="Arial"/>
              </w:rPr>
              <w:t>Proportion of adults and older people receiving long term services who are supported in the community</w:t>
            </w:r>
          </w:p>
        </w:tc>
        <w:tc>
          <w:tcPr>
            <w:tcW w:w="1511"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i/>
              </w:rPr>
            </w:pPr>
            <w:r w:rsidRPr="00FA30B2">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High</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2288D" w:rsidRPr="00007585" w:rsidRDefault="0032288D" w:rsidP="00E34EF7">
            <w:pPr>
              <w:pStyle w:val="NoSpacing"/>
              <w:rPr>
                <w:rFonts w:ascii="Arial" w:hAnsi="Arial" w:cs="Arial"/>
              </w:rPr>
            </w:pPr>
            <w:r w:rsidRPr="00007585">
              <w:rPr>
                <w:rFonts w:ascii="Arial" w:hAnsi="Arial" w:cs="Arial"/>
              </w:rPr>
              <w:t>70.3%</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69.6%</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69.5%</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69.7%</w:t>
            </w:r>
          </w:p>
        </w:tc>
        <w:tc>
          <w:tcPr>
            <w:tcW w:w="1607"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72%</w:t>
            </w:r>
          </w:p>
        </w:tc>
      </w:tr>
      <w:tr w:rsidR="0032288D" w:rsidRPr="0080455B" w:rsidTr="002A7CA1">
        <w:trPr>
          <w:trHeight w:val="70"/>
        </w:trPr>
        <w:tc>
          <w:tcPr>
            <w:tcW w:w="2694"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color w:val="000000"/>
              </w:rPr>
            </w:pPr>
            <w:r w:rsidRPr="00FA30B2">
              <w:rPr>
                <w:rFonts w:ascii="Arial" w:hAnsi="Arial" w:cs="Arial"/>
              </w:rPr>
              <w:t xml:space="preserve">Permanent admissions to residential and nursing care homes per 100,000 population aged 18-64 during the year </w:t>
            </w:r>
          </w:p>
        </w:tc>
        <w:tc>
          <w:tcPr>
            <w:tcW w:w="1511"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rPr>
            </w:pPr>
            <w:r w:rsidRPr="00FA30B2">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Low</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16.4</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15.2</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288D" w:rsidRPr="00007585" w:rsidRDefault="0032288D" w:rsidP="00E34EF7">
            <w:pPr>
              <w:pStyle w:val="NoSpacing"/>
              <w:rPr>
                <w:rFonts w:ascii="Arial" w:hAnsi="Arial" w:cs="Arial"/>
              </w:rPr>
            </w:pPr>
            <w:r w:rsidRPr="00007585">
              <w:rPr>
                <w:rFonts w:ascii="Arial" w:hAnsi="Arial" w:cs="Arial"/>
              </w:rPr>
              <w:t>14.3</w:t>
            </w:r>
          </w:p>
          <w:p w:rsidR="0032288D" w:rsidRPr="00007585" w:rsidRDefault="0032288D" w:rsidP="00E34EF7">
            <w:pPr>
              <w:pStyle w:val="NoSpacing"/>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2288D" w:rsidRPr="00007585" w:rsidRDefault="0032288D" w:rsidP="00E34EF7">
            <w:pPr>
              <w:pStyle w:val="NoSpacing"/>
              <w:rPr>
                <w:rFonts w:ascii="Arial" w:hAnsi="Arial" w:cs="Arial"/>
              </w:rPr>
            </w:pPr>
            <w:r w:rsidRPr="00007585">
              <w:rPr>
                <w:rFonts w:ascii="Arial" w:hAnsi="Arial" w:cs="Arial"/>
              </w:rPr>
              <w:t>12.4 (this is November Data – figures reported one month in a</w:t>
            </w:r>
            <w:r>
              <w:rPr>
                <w:rFonts w:ascii="Arial" w:hAnsi="Arial" w:cs="Arial"/>
              </w:rPr>
              <w:t>r</w:t>
            </w:r>
            <w:r w:rsidRPr="00007585">
              <w:rPr>
                <w:rFonts w:ascii="Arial" w:hAnsi="Arial" w:cs="Arial"/>
              </w:rPr>
              <w:t>rea</w:t>
            </w:r>
            <w:r>
              <w:rPr>
                <w:rFonts w:ascii="Arial" w:hAnsi="Arial" w:cs="Arial"/>
              </w:rPr>
              <w:t>r</w:t>
            </w:r>
            <w:r w:rsidRPr="00007585">
              <w:rPr>
                <w:rFonts w:ascii="Arial" w:hAnsi="Arial" w:cs="Arial"/>
              </w:rPr>
              <w:t>s)</w:t>
            </w:r>
          </w:p>
        </w:tc>
        <w:tc>
          <w:tcPr>
            <w:tcW w:w="1607"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13.6</w:t>
            </w:r>
          </w:p>
        </w:tc>
      </w:tr>
      <w:tr w:rsidR="0032288D" w:rsidRPr="0080455B" w:rsidTr="002A7CA1">
        <w:trPr>
          <w:trHeight w:val="1347"/>
        </w:trPr>
        <w:tc>
          <w:tcPr>
            <w:tcW w:w="2694" w:type="dxa"/>
            <w:tcBorders>
              <w:top w:val="single" w:sz="4" w:space="0" w:color="auto"/>
              <w:left w:val="single" w:sz="4" w:space="0" w:color="auto"/>
              <w:bottom w:val="single" w:sz="4" w:space="0" w:color="auto"/>
              <w:right w:val="single" w:sz="4" w:space="0" w:color="auto"/>
            </w:tcBorders>
            <w:hideMark/>
          </w:tcPr>
          <w:p w:rsidR="0032288D" w:rsidRPr="00A30BAB" w:rsidRDefault="0032288D" w:rsidP="00E34EF7">
            <w:pPr>
              <w:pStyle w:val="NoSpacing"/>
              <w:rPr>
                <w:rFonts w:ascii="Arial" w:hAnsi="Arial" w:cs="Arial"/>
              </w:rPr>
            </w:pPr>
            <w:r w:rsidRPr="00A30BAB">
              <w:rPr>
                <w:rFonts w:ascii="Arial" w:hAnsi="Arial" w:cs="Arial"/>
              </w:rPr>
              <w:t>Permanent admissions to residential and nursing care homes per 100,000 population aged 65+ during the year</w:t>
            </w:r>
          </w:p>
          <w:p w:rsidR="0032288D" w:rsidRPr="00A30BAB" w:rsidRDefault="0032288D" w:rsidP="00E34EF7">
            <w:pPr>
              <w:pStyle w:val="NoSpacing"/>
              <w:rPr>
                <w:rFonts w:ascii="Arial" w:hAnsi="Arial" w:cs="Arial"/>
                <w:b/>
              </w:rPr>
            </w:pPr>
          </w:p>
        </w:tc>
        <w:tc>
          <w:tcPr>
            <w:tcW w:w="1511" w:type="dxa"/>
            <w:tcBorders>
              <w:top w:val="single" w:sz="4" w:space="0" w:color="auto"/>
              <w:left w:val="single" w:sz="4" w:space="0" w:color="auto"/>
              <w:bottom w:val="single" w:sz="4" w:space="0" w:color="auto"/>
              <w:right w:val="single" w:sz="4" w:space="0" w:color="auto"/>
            </w:tcBorders>
            <w:hideMark/>
          </w:tcPr>
          <w:p w:rsidR="0032288D" w:rsidRPr="00FA30B2" w:rsidRDefault="0032288D" w:rsidP="00E34EF7">
            <w:pPr>
              <w:pStyle w:val="NoSpacing"/>
              <w:rPr>
                <w:rFonts w:ascii="Arial" w:hAnsi="Arial" w:cs="Arial"/>
                <w:i/>
              </w:rPr>
            </w:pPr>
            <w:r w:rsidRPr="00FA30B2">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32288D" w:rsidRPr="00FA30B2" w:rsidRDefault="0032288D" w:rsidP="00E34EF7">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Low</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32288D" w:rsidRPr="009E6494" w:rsidRDefault="0032288D" w:rsidP="00E34EF7">
            <w:pPr>
              <w:pStyle w:val="NoSpacing"/>
              <w:rPr>
                <w:rFonts w:ascii="Arial" w:hAnsi="Arial" w:cs="Arial"/>
                <w:color w:val="FFFFFF" w:themeColor="background1"/>
              </w:rPr>
            </w:pPr>
            <w:r w:rsidRPr="009E6494">
              <w:rPr>
                <w:rFonts w:ascii="Arial" w:hAnsi="Arial" w:cs="Arial"/>
                <w:color w:val="FFFFFF" w:themeColor="background1"/>
              </w:rPr>
              <w:t>711.9</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32288D" w:rsidRPr="009E6494" w:rsidRDefault="0032288D" w:rsidP="00E34EF7">
            <w:pPr>
              <w:pStyle w:val="NoSpacing"/>
              <w:rPr>
                <w:rFonts w:ascii="Arial" w:hAnsi="Arial" w:cs="Arial"/>
                <w:color w:val="FFFFFF" w:themeColor="background1"/>
              </w:rPr>
            </w:pPr>
            <w:r w:rsidRPr="009E6494">
              <w:rPr>
                <w:rFonts w:ascii="Arial" w:hAnsi="Arial" w:cs="Arial"/>
                <w:color w:val="FFFFFF" w:themeColor="background1"/>
              </w:rPr>
              <w:t>703</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32288D" w:rsidRPr="009E6494" w:rsidRDefault="0032288D" w:rsidP="00E34EF7">
            <w:pPr>
              <w:pStyle w:val="NoSpacing"/>
              <w:rPr>
                <w:rFonts w:ascii="Arial" w:hAnsi="Arial" w:cs="Arial"/>
                <w:color w:val="FFFFFF" w:themeColor="background1"/>
              </w:rPr>
            </w:pPr>
            <w:r w:rsidRPr="009E6494">
              <w:rPr>
                <w:rFonts w:ascii="Arial" w:hAnsi="Arial" w:cs="Arial"/>
                <w:color w:val="FFFFFF" w:themeColor="background1"/>
              </w:rPr>
              <w:t xml:space="preserve">697.8 </w:t>
            </w:r>
          </w:p>
          <w:p w:rsidR="0032288D" w:rsidRPr="009E6494" w:rsidRDefault="0032288D" w:rsidP="00E34EF7">
            <w:pPr>
              <w:pStyle w:val="NoSpacing"/>
              <w:rPr>
                <w:rFonts w:ascii="Arial" w:hAnsi="Arial" w:cs="Arial"/>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32288D" w:rsidRPr="009E6494" w:rsidRDefault="0032288D" w:rsidP="00E34EF7">
            <w:pPr>
              <w:pStyle w:val="NoSpacing"/>
              <w:rPr>
                <w:rFonts w:ascii="Arial" w:hAnsi="Arial" w:cs="Arial"/>
                <w:color w:val="FFFFFF" w:themeColor="background1"/>
              </w:rPr>
            </w:pPr>
            <w:r w:rsidRPr="009E6494">
              <w:rPr>
                <w:rFonts w:ascii="Arial" w:hAnsi="Arial" w:cs="Arial"/>
                <w:color w:val="FFFFFF" w:themeColor="background1"/>
              </w:rPr>
              <w:t>698.6 (this is November Data – figures reported one month in arrears)</w:t>
            </w:r>
          </w:p>
        </w:tc>
        <w:tc>
          <w:tcPr>
            <w:tcW w:w="1607" w:type="dxa"/>
            <w:tcBorders>
              <w:top w:val="single" w:sz="4" w:space="0" w:color="auto"/>
              <w:left w:val="single" w:sz="4" w:space="0" w:color="auto"/>
              <w:bottom w:val="single" w:sz="4" w:space="0" w:color="auto"/>
              <w:right w:val="single" w:sz="4" w:space="0" w:color="auto"/>
            </w:tcBorders>
          </w:tcPr>
          <w:p w:rsidR="0032288D" w:rsidRPr="0080455B" w:rsidRDefault="0032288D" w:rsidP="00E34EF7">
            <w:pPr>
              <w:pStyle w:val="NoSpacing"/>
              <w:rPr>
                <w:rFonts w:ascii="Arial" w:hAnsi="Arial" w:cs="Arial"/>
              </w:rPr>
            </w:pPr>
            <w:r w:rsidRPr="0080455B">
              <w:rPr>
                <w:rFonts w:ascii="Arial" w:hAnsi="Arial" w:cs="Arial"/>
              </w:rPr>
              <w:t>600-680</w:t>
            </w:r>
          </w:p>
        </w:tc>
      </w:tr>
    </w:tbl>
    <w:p w:rsidR="0032288D" w:rsidRPr="0032288D" w:rsidRDefault="0032288D" w:rsidP="0032288D">
      <w:pPr>
        <w:rPr>
          <w:lang w:eastAsia="en-GB"/>
        </w:rPr>
      </w:pPr>
    </w:p>
    <w:p w:rsidR="0032288D" w:rsidRPr="001A49B5" w:rsidRDefault="0032288D" w:rsidP="00323412">
      <w:pPr>
        <w:pStyle w:val="NoSpacing"/>
        <w:jc w:val="both"/>
        <w:rPr>
          <w:rFonts w:ascii="Arial" w:hAnsi="Arial" w:cs="Arial"/>
        </w:rPr>
      </w:pPr>
      <w:r w:rsidRPr="001A49B5">
        <w:rPr>
          <w:rFonts w:ascii="Arial" w:hAnsi="Arial" w:cs="Arial"/>
          <w:b/>
        </w:rPr>
        <w:t xml:space="preserve">Percentage of older people (65 and over) who were still at home 91 days after discharge from hospital into </w:t>
      </w:r>
      <w:proofErr w:type="spellStart"/>
      <w:r w:rsidRPr="001A49B5">
        <w:rPr>
          <w:rFonts w:ascii="Arial" w:hAnsi="Arial" w:cs="Arial"/>
          <w:b/>
        </w:rPr>
        <w:t>reablement</w:t>
      </w:r>
      <w:proofErr w:type="spellEnd"/>
      <w:r w:rsidRPr="001A49B5">
        <w:rPr>
          <w:rFonts w:ascii="Arial" w:hAnsi="Arial" w:cs="Arial"/>
          <w:b/>
        </w:rPr>
        <w:t>/rehabilitation services</w:t>
      </w:r>
      <w:r w:rsidRPr="001A49B5">
        <w:rPr>
          <w:rFonts w:ascii="Arial" w:hAnsi="Arial" w:cs="Arial"/>
        </w:rPr>
        <w:t xml:space="preserve"> – the number of citizens who are still at home 91 days after discharge is at 82.7% at the end of Quarter 3, this has stayed relatively static over the year and is consistent to 2018/19 performance, and is performing higher than the national average of 82.4%.  However, performance is still below the target identified.</w:t>
      </w:r>
    </w:p>
    <w:p w:rsidR="0032288D" w:rsidRPr="001A49B5" w:rsidRDefault="0032288D" w:rsidP="0032288D">
      <w:pPr>
        <w:pStyle w:val="NoSpacing"/>
        <w:rPr>
          <w:rFonts w:ascii="Arial" w:hAnsi="Arial" w:cs="Arial"/>
        </w:rPr>
      </w:pPr>
    </w:p>
    <w:p w:rsidR="0032288D" w:rsidRPr="001A49B5" w:rsidRDefault="0032288D" w:rsidP="00323412">
      <w:pPr>
        <w:pStyle w:val="NoSpacing"/>
        <w:jc w:val="both"/>
        <w:rPr>
          <w:rFonts w:ascii="Arial" w:hAnsi="Arial" w:cs="Arial"/>
        </w:rPr>
      </w:pPr>
      <w:r w:rsidRPr="001A49B5">
        <w:rPr>
          <w:rFonts w:ascii="Arial" w:hAnsi="Arial" w:cs="Arial"/>
          <w:b/>
        </w:rPr>
        <w:t>Proportion of adults with learning disabilities who live in their own home</w:t>
      </w:r>
      <w:r w:rsidRPr="001A49B5">
        <w:rPr>
          <w:rFonts w:ascii="Arial" w:hAnsi="Arial" w:cs="Arial"/>
        </w:rPr>
        <w:t xml:space="preserve"> – Performance at Quarter 3 has decreased by 2.3% and is now 6% below the planned target, performance is also down on the 2018/19 end of year position. Although as a Council we are performing higher than the national average which is 77.4%.</w:t>
      </w:r>
    </w:p>
    <w:p w:rsidR="0032288D" w:rsidRPr="001A49B5" w:rsidRDefault="0032288D" w:rsidP="0032288D">
      <w:pPr>
        <w:pStyle w:val="NoSpacing"/>
        <w:rPr>
          <w:rFonts w:ascii="Arial" w:hAnsi="Arial" w:cs="Arial"/>
        </w:rPr>
      </w:pPr>
    </w:p>
    <w:p w:rsidR="0032288D" w:rsidRPr="001A49B5" w:rsidRDefault="0032288D" w:rsidP="00323412">
      <w:pPr>
        <w:pStyle w:val="NoSpacing"/>
        <w:jc w:val="both"/>
        <w:rPr>
          <w:rFonts w:ascii="Arial" w:hAnsi="Arial" w:cs="Arial"/>
        </w:rPr>
      </w:pPr>
      <w:r w:rsidRPr="001A49B5">
        <w:rPr>
          <w:rFonts w:ascii="Arial" w:hAnsi="Arial" w:cs="Arial"/>
          <w:b/>
        </w:rPr>
        <w:lastRenderedPageBreak/>
        <w:t>Proportion of adults and older people receiving long term services who are supported in the community</w:t>
      </w:r>
      <w:r w:rsidRPr="001A49B5">
        <w:rPr>
          <w:rFonts w:ascii="Arial" w:hAnsi="Arial" w:cs="Arial"/>
        </w:rPr>
        <w:t xml:space="preserve"> – Performance has stayed constant throughout the year and is currently at 69.7%, this is below the 2018/19 end of year position, and is also currently under target.</w:t>
      </w:r>
    </w:p>
    <w:p w:rsidR="0032288D" w:rsidRPr="001A49B5" w:rsidRDefault="0032288D" w:rsidP="0032288D">
      <w:pPr>
        <w:pStyle w:val="NoSpacing"/>
        <w:rPr>
          <w:rFonts w:ascii="Arial" w:hAnsi="Arial" w:cs="Arial"/>
        </w:rPr>
      </w:pPr>
    </w:p>
    <w:p w:rsidR="0032288D" w:rsidRPr="001A49B5" w:rsidRDefault="0032288D" w:rsidP="00323412">
      <w:pPr>
        <w:pStyle w:val="NoSpacing"/>
        <w:jc w:val="both"/>
        <w:rPr>
          <w:rFonts w:ascii="Arial" w:hAnsi="Arial" w:cs="Arial"/>
        </w:rPr>
      </w:pPr>
      <w:r w:rsidRPr="001A49B5">
        <w:rPr>
          <w:rFonts w:ascii="Arial" w:hAnsi="Arial" w:cs="Arial"/>
          <w:b/>
        </w:rPr>
        <w:t>Permanent admissions to residential and nursing care homes per 100,000 population aged 18-64 during the year</w:t>
      </w:r>
      <w:r w:rsidRPr="001A49B5">
        <w:rPr>
          <w:rFonts w:ascii="Arial" w:hAnsi="Arial" w:cs="Arial"/>
        </w:rPr>
        <w:t xml:space="preserve"> – The Quarter 3 position is not yet available as the figures are reported a month in arrears, however using the end of November position, it shows a vast improvement in the reduction of permanent admissions, as it has dropped to 12.4.  This is on target and is also performing better than the National average of 13.9.</w:t>
      </w:r>
    </w:p>
    <w:p w:rsidR="006D2B1F" w:rsidRPr="001A49B5" w:rsidRDefault="006D2B1F" w:rsidP="0032288D">
      <w:pPr>
        <w:pStyle w:val="NoSpacing"/>
        <w:rPr>
          <w:rFonts w:ascii="Arial" w:hAnsi="Arial" w:cs="Arial"/>
        </w:rPr>
      </w:pPr>
    </w:p>
    <w:p w:rsidR="0032288D" w:rsidRPr="001A49B5" w:rsidRDefault="0032288D" w:rsidP="0032288D">
      <w:pPr>
        <w:pStyle w:val="NoSpacing"/>
        <w:rPr>
          <w:rFonts w:ascii="Arial" w:hAnsi="Arial" w:cs="Arial"/>
        </w:rPr>
      </w:pPr>
      <w:r w:rsidRPr="001A49B5">
        <w:rPr>
          <w:rFonts w:ascii="Arial" w:hAnsi="Arial" w:cs="Arial"/>
          <w:b/>
        </w:rPr>
        <w:t>Permanent admissions to residential and nursing care homes per 100,000 population aged 65+ during the year</w:t>
      </w:r>
      <w:r w:rsidRPr="001A49B5">
        <w:rPr>
          <w:rFonts w:ascii="Arial" w:hAnsi="Arial" w:cs="Arial"/>
        </w:rPr>
        <w:t xml:space="preserve"> – </w:t>
      </w:r>
    </w:p>
    <w:p w:rsidR="00EC2CD4" w:rsidRDefault="0032288D" w:rsidP="0093720F">
      <w:pPr>
        <w:rPr>
          <w:sz w:val="22"/>
          <w:szCs w:val="22"/>
        </w:rPr>
      </w:pPr>
      <w:r w:rsidRPr="00FC4314">
        <w:rPr>
          <w:rFonts w:cs="Arial"/>
          <w:sz w:val="22"/>
          <w:szCs w:val="22"/>
        </w:rPr>
        <w:t xml:space="preserve">The Quarter 3 position is not yet available as the figures are reported a month in arrears, however using the end of November position, it shows an improvement in the reduction of permanent admissions, as it has dropped to 698.6.  This is moving in the right direction as at the end of 2018/19 we scored 711.9.  Although </w:t>
      </w:r>
      <w:r w:rsidR="009376E3">
        <w:rPr>
          <w:rFonts w:cs="Arial"/>
          <w:sz w:val="22"/>
          <w:szCs w:val="22"/>
        </w:rPr>
        <w:t>this is</w:t>
      </w:r>
      <w:r w:rsidRPr="00FC4314">
        <w:rPr>
          <w:rFonts w:cs="Arial"/>
          <w:sz w:val="22"/>
          <w:szCs w:val="22"/>
        </w:rPr>
        <w:t xml:space="preserve"> still a long way short of the national average of 580.0, </w:t>
      </w:r>
      <w:r w:rsidR="009376E3">
        <w:rPr>
          <w:rFonts w:cs="Arial"/>
          <w:sz w:val="22"/>
          <w:szCs w:val="22"/>
        </w:rPr>
        <w:t>it is better than</w:t>
      </w:r>
      <w:r w:rsidRPr="00FC4314">
        <w:rPr>
          <w:rFonts w:cs="Arial"/>
          <w:sz w:val="22"/>
          <w:szCs w:val="22"/>
        </w:rPr>
        <w:t xml:space="preserve"> the North West average of 723.5</w:t>
      </w:r>
      <w:r w:rsidR="009376E3">
        <w:rPr>
          <w:rFonts w:cs="Arial"/>
          <w:sz w:val="22"/>
          <w:szCs w:val="22"/>
        </w:rPr>
        <w:t>.</w:t>
      </w:r>
      <w:r w:rsidRPr="00FC4314">
        <w:rPr>
          <w:rFonts w:cs="Arial"/>
          <w:sz w:val="22"/>
          <w:szCs w:val="22"/>
        </w:rPr>
        <w:t xml:space="preserve"> </w:t>
      </w:r>
      <w:r w:rsidR="009376E3">
        <w:rPr>
          <w:rFonts w:cs="Arial"/>
          <w:sz w:val="22"/>
          <w:szCs w:val="22"/>
        </w:rPr>
        <w:t>T</w:t>
      </w:r>
      <w:r w:rsidRPr="00FC4314">
        <w:rPr>
          <w:rFonts w:cs="Arial"/>
          <w:sz w:val="22"/>
          <w:szCs w:val="22"/>
        </w:rPr>
        <w:t>he 2017/18 Better Care Fund target of 734.2</w:t>
      </w:r>
      <w:r w:rsidR="009376E3">
        <w:rPr>
          <w:rFonts w:cs="Arial"/>
          <w:sz w:val="22"/>
          <w:szCs w:val="22"/>
        </w:rPr>
        <w:t xml:space="preserve"> is also being achieved</w:t>
      </w:r>
      <w:r w:rsidRPr="00FC4314">
        <w:rPr>
          <w:rFonts w:cs="Arial"/>
          <w:sz w:val="22"/>
          <w:szCs w:val="22"/>
        </w:rPr>
        <w:t xml:space="preserve">. Performance has benefited from the </w:t>
      </w:r>
      <w:r w:rsidR="009376E3">
        <w:rPr>
          <w:rFonts w:cs="Arial"/>
          <w:sz w:val="22"/>
          <w:szCs w:val="22"/>
        </w:rPr>
        <w:t>'</w:t>
      </w:r>
      <w:r w:rsidRPr="00FC4314">
        <w:rPr>
          <w:rFonts w:cs="Arial"/>
          <w:sz w:val="22"/>
          <w:szCs w:val="22"/>
        </w:rPr>
        <w:t>Passport to Independence</w:t>
      </w:r>
      <w:r w:rsidR="009376E3">
        <w:rPr>
          <w:rFonts w:cs="Arial"/>
          <w:sz w:val="22"/>
          <w:szCs w:val="22"/>
        </w:rPr>
        <w:t>'</w:t>
      </w:r>
      <w:r w:rsidRPr="00FC4314">
        <w:rPr>
          <w:rFonts w:cs="Arial"/>
          <w:sz w:val="22"/>
          <w:szCs w:val="22"/>
        </w:rPr>
        <w:t xml:space="preserve"> practice improvements</w:t>
      </w:r>
      <w:r w:rsidR="0093720F" w:rsidRPr="00FC4314">
        <w:rPr>
          <w:rFonts w:cs="Arial"/>
          <w:sz w:val="22"/>
          <w:szCs w:val="22"/>
        </w:rPr>
        <w:t xml:space="preserve"> </w:t>
      </w:r>
      <w:r w:rsidR="0093720F" w:rsidRPr="00FC4314">
        <w:rPr>
          <w:sz w:val="22"/>
          <w:szCs w:val="22"/>
        </w:rPr>
        <w:t xml:space="preserve">and focussed service challenge initiatives which </w:t>
      </w:r>
      <w:r w:rsidR="009376E3">
        <w:rPr>
          <w:sz w:val="22"/>
          <w:szCs w:val="22"/>
        </w:rPr>
        <w:t>are</w:t>
      </w:r>
      <w:r w:rsidR="0093720F" w:rsidRPr="00FC4314">
        <w:rPr>
          <w:sz w:val="22"/>
          <w:szCs w:val="22"/>
        </w:rPr>
        <w:t xml:space="preserve"> expect</w:t>
      </w:r>
      <w:r w:rsidR="009376E3">
        <w:rPr>
          <w:sz w:val="22"/>
          <w:szCs w:val="22"/>
        </w:rPr>
        <w:t>ed</w:t>
      </w:r>
      <w:r w:rsidR="0093720F" w:rsidRPr="00FC4314">
        <w:rPr>
          <w:sz w:val="22"/>
          <w:szCs w:val="22"/>
        </w:rPr>
        <w:t xml:space="preserve"> to continue to improve performance. There is concern</w:t>
      </w:r>
      <w:r w:rsidR="0093720F" w:rsidRPr="0093720F">
        <w:rPr>
          <w:sz w:val="22"/>
          <w:szCs w:val="22"/>
        </w:rPr>
        <w:t xml:space="preserve"> that performance maybe impacted next quarter due to significant winter pressures resulting in higher number of people placed in residential care.</w:t>
      </w:r>
    </w:p>
    <w:p w:rsidR="006D2B1F" w:rsidRPr="0093720F" w:rsidRDefault="006D2B1F" w:rsidP="0093720F">
      <w:pPr>
        <w:rPr>
          <w:rFonts w:ascii="Calibri" w:eastAsiaTheme="minorHAnsi" w:hAnsi="Calibri" w:cs="Calibri"/>
          <w:color w:val="auto"/>
          <w:sz w:val="22"/>
          <w:szCs w:val="22"/>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843"/>
        <w:gridCol w:w="851"/>
        <w:gridCol w:w="159"/>
        <w:gridCol w:w="1542"/>
        <w:gridCol w:w="283"/>
        <w:gridCol w:w="709"/>
        <w:gridCol w:w="142"/>
        <w:gridCol w:w="992"/>
        <w:gridCol w:w="142"/>
        <w:gridCol w:w="1559"/>
        <w:gridCol w:w="142"/>
        <w:gridCol w:w="1559"/>
      </w:tblGrid>
      <w:tr w:rsidR="009501AC" w:rsidRPr="00FA30B2" w:rsidTr="00EC2CD4">
        <w:trPr>
          <w:trHeight w:val="444"/>
        </w:trPr>
        <w:tc>
          <w:tcPr>
            <w:tcW w:w="2410" w:type="dxa"/>
            <w:tcBorders>
              <w:top w:val="single" w:sz="4" w:space="0" w:color="auto"/>
              <w:left w:val="single" w:sz="4" w:space="0" w:color="auto"/>
              <w:bottom w:val="single" w:sz="4" w:space="0" w:color="auto"/>
              <w:right w:val="single" w:sz="4" w:space="0" w:color="auto"/>
            </w:tcBorders>
            <w:hideMark/>
          </w:tcPr>
          <w:p w:rsidR="009501AC" w:rsidRPr="00FA30B2" w:rsidRDefault="009501AC" w:rsidP="00AB7002">
            <w:pPr>
              <w:pStyle w:val="NoSpacing"/>
              <w:rPr>
                <w:rFonts w:ascii="Arial" w:hAnsi="Arial" w:cs="Arial"/>
                <w:b/>
              </w:rPr>
            </w:pPr>
            <w:r w:rsidRPr="00FA30B2">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hideMark/>
          </w:tcPr>
          <w:p w:rsidR="009501AC" w:rsidRPr="00FA30B2" w:rsidRDefault="009501AC" w:rsidP="00AB7002">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9501AC" w:rsidRPr="00FA30B2" w:rsidRDefault="009501AC" w:rsidP="00AB7002">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9501AC" w:rsidRDefault="009501AC" w:rsidP="00AB7002">
            <w:pPr>
              <w:pStyle w:val="NoSpacing"/>
              <w:rPr>
                <w:rFonts w:ascii="Arial" w:hAnsi="Arial" w:cs="Arial"/>
                <w:b/>
              </w:rPr>
            </w:pPr>
            <w:r>
              <w:rPr>
                <w:rFonts w:ascii="Arial" w:hAnsi="Arial" w:cs="Arial"/>
                <w:b/>
              </w:rPr>
              <w:t>Good is</w:t>
            </w:r>
          </w:p>
        </w:tc>
        <w:tc>
          <w:tcPr>
            <w:tcW w:w="1701" w:type="dxa"/>
            <w:gridSpan w:val="2"/>
            <w:tcBorders>
              <w:top w:val="single" w:sz="4" w:space="0" w:color="auto"/>
              <w:left w:val="single" w:sz="4" w:space="0" w:color="auto"/>
              <w:bottom w:val="single" w:sz="4" w:space="0" w:color="auto"/>
              <w:right w:val="single" w:sz="4" w:space="0" w:color="auto"/>
            </w:tcBorders>
          </w:tcPr>
          <w:p w:rsidR="009501AC" w:rsidRPr="00FA30B2" w:rsidRDefault="009501AC" w:rsidP="00AB7002">
            <w:pPr>
              <w:pStyle w:val="NoSpacing"/>
              <w:rPr>
                <w:rFonts w:ascii="Arial" w:hAnsi="Arial" w:cs="Arial"/>
                <w:b/>
              </w:rPr>
            </w:pPr>
            <w:r>
              <w:rPr>
                <w:rFonts w:ascii="Arial" w:hAnsi="Arial" w:cs="Arial"/>
                <w:b/>
              </w:rPr>
              <w:t>2018/19 Performance</w:t>
            </w:r>
          </w:p>
        </w:tc>
        <w:tc>
          <w:tcPr>
            <w:tcW w:w="992" w:type="dxa"/>
            <w:gridSpan w:val="2"/>
            <w:tcBorders>
              <w:top w:val="single" w:sz="4" w:space="0" w:color="auto"/>
              <w:left w:val="single" w:sz="4" w:space="0" w:color="auto"/>
              <w:bottom w:val="single" w:sz="4" w:space="0" w:color="auto"/>
              <w:right w:val="single" w:sz="4" w:space="0" w:color="auto"/>
            </w:tcBorders>
          </w:tcPr>
          <w:p w:rsidR="009501AC" w:rsidRPr="00FA30B2" w:rsidRDefault="009501AC" w:rsidP="00AB7002">
            <w:pPr>
              <w:pStyle w:val="NoSpacing"/>
              <w:rPr>
                <w:rFonts w:ascii="Arial" w:hAnsi="Arial" w:cs="Arial"/>
                <w:b/>
              </w:rPr>
            </w:pPr>
            <w:r>
              <w:rPr>
                <w:rFonts w:ascii="Arial" w:hAnsi="Arial" w:cs="Arial"/>
                <w:b/>
              </w:rPr>
              <w:t xml:space="preserve">Q1 </w:t>
            </w:r>
          </w:p>
        </w:tc>
        <w:tc>
          <w:tcPr>
            <w:tcW w:w="1276" w:type="dxa"/>
            <w:gridSpan w:val="3"/>
            <w:tcBorders>
              <w:top w:val="single" w:sz="4" w:space="0" w:color="auto"/>
              <w:left w:val="single" w:sz="4" w:space="0" w:color="auto"/>
              <w:bottom w:val="single" w:sz="4" w:space="0" w:color="auto"/>
              <w:right w:val="single" w:sz="4" w:space="0" w:color="auto"/>
            </w:tcBorders>
          </w:tcPr>
          <w:p w:rsidR="009501AC" w:rsidRPr="003914B1" w:rsidRDefault="009501AC" w:rsidP="00AB7002">
            <w:pPr>
              <w:pStyle w:val="NoSpacing"/>
              <w:rPr>
                <w:rFonts w:ascii="Arial" w:hAnsi="Arial" w:cs="Arial"/>
                <w:b/>
                <w:highlight w:val="yellow"/>
              </w:rPr>
            </w:pPr>
            <w:r w:rsidRPr="000F02F4">
              <w:rPr>
                <w:rFonts w:ascii="Arial" w:hAnsi="Arial" w:cs="Arial"/>
                <w:b/>
              </w:rPr>
              <w:t>Q2</w:t>
            </w:r>
          </w:p>
        </w:tc>
        <w:tc>
          <w:tcPr>
            <w:tcW w:w="1701" w:type="dxa"/>
            <w:gridSpan w:val="2"/>
            <w:tcBorders>
              <w:top w:val="single" w:sz="4" w:space="0" w:color="auto"/>
              <w:left w:val="single" w:sz="4" w:space="0" w:color="auto"/>
              <w:bottom w:val="single" w:sz="4" w:space="0" w:color="auto"/>
              <w:right w:val="single" w:sz="4" w:space="0" w:color="auto"/>
            </w:tcBorders>
          </w:tcPr>
          <w:p w:rsidR="009501AC" w:rsidRPr="00FA30B2" w:rsidRDefault="009501AC" w:rsidP="00AB7002">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559" w:type="dxa"/>
            <w:tcBorders>
              <w:top w:val="single" w:sz="4" w:space="0" w:color="auto"/>
              <w:left w:val="single" w:sz="4" w:space="0" w:color="auto"/>
              <w:bottom w:val="single" w:sz="4" w:space="0" w:color="auto"/>
              <w:right w:val="single" w:sz="4" w:space="0" w:color="auto"/>
            </w:tcBorders>
          </w:tcPr>
          <w:p w:rsidR="009501AC" w:rsidRPr="00FA30B2" w:rsidRDefault="009501AC" w:rsidP="00AB7002">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9501AC" w:rsidRPr="00FA30B2" w:rsidTr="00EC2CD4">
        <w:trPr>
          <w:trHeight w:val="687"/>
        </w:trPr>
        <w:tc>
          <w:tcPr>
            <w:tcW w:w="2410" w:type="dxa"/>
            <w:tcBorders>
              <w:top w:val="single" w:sz="4" w:space="0" w:color="auto"/>
              <w:left w:val="single" w:sz="4" w:space="0" w:color="auto"/>
              <w:bottom w:val="single" w:sz="4" w:space="0" w:color="auto"/>
              <w:right w:val="single" w:sz="4" w:space="0" w:color="auto"/>
            </w:tcBorders>
            <w:hideMark/>
          </w:tcPr>
          <w:p w:rsidR="009501AC" w:rsidRDefault="009501AC" w:rsidP="009501AC">
            <w:pPr>
              <w:pStyle w:val="NoSpacing"/>
              <w:rPr>
                <w:rFonts w:ascii="Arial" w:hAnsi="Arial" w:cs="Arial"/>
              </w:rPr>
            </w:pPr>
            <w:r w:rsidRPr="00FA30B2">
              <w:rPr>
                <w:rFonts w:ascii="Arial" w:hAnsi="Arial" w:cs="Arial"/>
              </w:rPr>
              <w:t>Number of working days per full time equivalent lost to sickness absence</w:t>
            </w:r>
          </w:p>
          <w:p w:rsidR="009501AC" w:rsidRPr="00FA30B2" w:rsidRDefault="009501AC" w:rsidP="009501AC">
            <w:pPr>
              <w:pStyle w:val="NoSpacing"/>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9501AC" w:rsidRPr="00FA30B2" w:rsidRDefault="009501AC" w:rsidP="009501AC">
            <w:pPr>
              <w:pStyle w:val="NoSpacing"/>
              <w:rPr>
                <w:rFonts w:ascii="Arial" w:hAnsi="Arial" w:cs="Arial"/>
              </w:rPr>
            </w:pPr>
            <w:r w:rsidRPr="00FA30B2">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9501AC" w:rsidRPr="00FA30B2" w:rsidRDefault="009501AC" w:rsidP="009501AC">
            <w:pPr>
              <w:pStyle w:val="NoSpacing"/>
              <w:rPr>
                <w:rFonts w:ascii="Arial" w:hAnsi="Arial" w:cs="Arial"/>
              </w:rPr>
            </w:pPr>
            <w:r>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rsidR="009501AC" w:rsidRPr="00FA30B2" w:rsidRDefault="009501AC" w:rsidP="009501AC">
            <w:pPr>
              <w:pStyle w:val="NoSpacing"/>
              <w:rPr>
                <w:rFonts w:ascii="Arial" w:hAnsi="Arial" w:cs="Arial"/>
              </w:rPr>
            </w:pPr>
            <w:r>
              <w:rPr>
                <w:rFonts w:ascii="Arial" w:hAnsi="Arial" w:cs="Arial"/>
              </w:rPr>
              <w:t>Low</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tcPr>
          <w:p w:rsidR="009501AC" w:rsidRPr="00933E74" w:rsidRDefault="009501AC" w:rsidP="009501AC">
            <w:pPr>
              <w:pStyle w:val="NoSpacing"/>
              <w:rPr>
                <w:rFonts w:ascii="Arial" w:hAnsi="Arial" w:cs="Arial"/>
                <w:color w:val="FFFFFF" w:themeColor="background1"/>
              </w:rPr>
            </w:pPr>
            <w:r w:rsidRPr="00933E74">
              <w:rPr>
                <w:rFonts w:ascii="Arial" w:hAnsi="Arial" w:cs="Arial"/>
                <w:color w:val="FFFFFF" w:themeColor="background1"/>
              </w:rPr>
              <w:t xml:space="preserve">Jan to Dec 2018 </w:t>
            </w:r>
          </w:p>
          <w:p w:rsidR="009501AC" w:rsidRPr="00933E74" w:rsidRDefault="009501AC" w:rsidP="009501AC">
            <w:pPr>
              <w:pStyle w:val="NoSpacing"/>
              <w:rPr>
                <w:rFonts w:ascii="Arial" w:hAnsi="Arial" w:cs="Arial"/>
                <w:color w:val="FFFFFF" w:themeColor="background1"/>
              </w:rPr>
            </w:pPr>
            <w:r w:rsidRPr="00933E74">
              <w:rPr>
                <w:rFonts w:ascii="Arial" w:hAnsi="Arial" w:cs="Arial"/>
                <w:color w:val="FFFFFF" w:themeColor="background1"/>
              </w:rPr>
              <w:t>12 days per FTE</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0000"/>
          </w:tcPr>
          <w:p w:rsidR="009501AC" w:rsidRPr="00933E74" w:rsidRDefault="00DE3BAA" w:rsidP="009501AC">
            <w:pPr>
              <w:pStyle w:val="NoSpacing"/>
              <w:rPr>
                <w:rFonts w:ascii="Arial" w:hAnsi="Arial" w:cs="Arial"/>
                <w:color w:val="FFFFFF" w:themeColor="background1"/>
              </w:rPr>
            </w:pPr>
            <w:r w:rsidRPr="00933E74">
              <w:rPr>
                <w:rFonts w:ascii="Arial" w:hAnsi="Arial" w:cs="Arial"/>
                <w:color w:val="FFFFFF" w:themeColor="background1"/>
              </w:rPr>
              <w:t>April 2018 to March 2019</w:t>
            </w:r>
          </w:p>
          <w:p w:rsidR="00DE3BAA" w:rsidRPr="00933E74" w:rsidRDefault="00DE3BAA" w:rsidP="009501AC">
            <w:pPr>
              <w:pStyle w:val="NoSpacing"/>
              <w:rPr>
                <w:rFonts w:ascii="Arial" w:hAnsi="Arial" w:cs="Arial"/>
                <w:color w:val="FFFFFF" w:themeColor="background1"/>
              </w:rPr>
            </w:pPr>
            <w:r w:rsidRPr="00933E74">
              <w:rPr>
                <w:rFonts w:ascii="Arial" w:hAnsi="Arial" w:cs="Arial"/>
                <w:color w:val="FFFFFF" w:themeColor="background1"/>
              </w:rPr>
              <w:t>11.96 days per FTE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0000"/>
          </w:tcPr>
          <w:p w:rsidR="009501AC" w:rsidRDefault="00933E74" w:rsidP="009501AC">
            <w:pPr>
              <w:pStyle w:val="NoSpacing"/>
              <w:rPr>
                <w:rFonts w:ascii="Arial" w:hAnsi="Arial" w:cs="Arial"/>
                <w:color w:val="FFFFFF" w:themeColor="background1"/>
              </w:rPr>
            </w:pPr>
            <w:r w:rsidRPr="00933E74">
              <w:rPr>
                <w:rFonts w:ascii="Arial" w:hAnsi="Arial" w:cs="Arial"/>
                <w:color w:val="FFFFFF" w:themeColor="background1"/>
              </w:rPr>
              <w:t>July 2018 to June 2019</w:t>
            </w:r>
          </w:p>
          <w:p w:rsidR="000F02F4" w:rsidRPr="00933E74" w:rsidRDefault="000F02F4" w:rsidP="009501AC">
            <w:pPr>
              <w:pStyle w:val="NoSpacing"/>
              <w:rPr>
                <w:rFonts w:ascii="Arial" w:hAnsi="Arial" w:cs="Arial"/>
                <w:color w:val="FFFFFF" w:themeColor="background1"/>
              </w:rPr>
            </w:pPr>
            <w:r>
              <w:rPr>
                <w:rFonts w:ascii="Arial" w:hAnsi="Arial" w:cs="Arial"/>
                <w:color w:val="FFFFFF" w:themeColor="background1"/>
              </w:rPr>
              <w:t>11.86 days per FTE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0000"/>
          </w:tcPr>
          <w:p w:rsidR="00DE3BAA" w:rsidRPr="00933E74" w:rsidRDefault="00DE3BAA" w:rsidP="00DE3BAA">
            <w:pPr>
              <w:pStyle w:val="NoSpacing"/>
              <w:rPr>
                <w:rFonts w:ascii="Arial" w:hAnsi="Arial" w:cs="Arial"/>
                <w:color w:val="FFFFFF" w:themeColor="background1"/>
              </w:rPr>
            </w:pPr>
            <w:r w:rsidRPr="00933E74">
              <w:rPr>
                <w:rFonts w:ascii="Arial" w:hAnsi="Arial" w:cs="Arial"/>
                <w:color w:val="FFFFFF" w:themeColor="background1"/>
              </w:rPr>
              <w:t>Jan to Dec 2019</w:t>
            </w:r>
          </w:p>
          <w:p w:rsidR="009501AC" w:rsidRPr="00933E74" w:rsidRDefault="009501AC" w:rsidP="009501AC">
            <w:pPr>
              <w:pStyle w:val="NoSpacing"/>
              <w:rPr>
                <w:rFonts w:ascii="Arial" w:hAnsi="Arial" w:cs="Arial"/>
                <w:color w:val="FFFFFF" w:themeColor="background1"/>
              </w:rPr>
            </w:pPr>
            <w:r w:rsidRPr="00933E74">
              <w:rPr>
                <w:rFonts w:ascii="Arial" w:hAnsi="Arial" w:cs="Arial"/>
                <w:color w:val="FFFFFF" w:themeColor="background1"/>
              </w:rPr>
              <w:t>12.28 days per FTE</w:t>
            </w:r>
          </w:p>
        </w:tc>
        <w:tc>
          <w:tcPr>
            <w:tcW w:w="1559" w:type="dxa"/>
            <w:tcBorders>
              <w:top w:val="single" w:sz="4" w:space="0" w:color="auto"/>
              <w:left w:val="single" w:sz="4" w:space="0" w:color="auto"/>
              <w:bottom w:val="single" w:sz="4" w:space="0" w:color="auto"/>
              <w:right w:val="single" w:sz="4" w:space="0" w:color="auto"/>
            </w:tcBorders>
          </w:tcPr>
          <w:p w:rsidR="009501AC" w:rsidRPr="00FA30B2" w:rsidRDefault="009501AC" w:rsidP="009501AC">
            <w:pPr>
              <w:pStyle w:val="NoSpacing"/>
              <w:rPr>
                <w:rFonts w:ascii="Arial" w:hAnsi="Arial" w:cs="Arial"/>
              </w:rPr>
            </w:pPr>
            <w:r w:rsidRPr="00FA30B2">
              <w:rPr>
                <w:rFonts w:ascii="Arial" w:hAnsi="Arial" w:cs="Arial"/>
              </w:rPr>
              <w:t>9.83 days per FTE</w:t>
            </w:r>
          </w:p>
        </w:tc>
      </w:tr>
      <w:tr w:rsidR="009501AC" w:rsidRPr="001A49B5" w:rsidTr="00EC2CD4">
        <w:trPr>
          <w:trHeight w:val="848"/>
        </w:trPr>
        <w:tc>
          <w:tcPr>
            <w:tcW w:w="2410" w:type="dxa"/>
            <w:tcBorders>
              <w:top w:val="single" w:sz="4" w:space="0" w:color="auto"/>
              <w:left w:val="single" w:sz="4" w:space="0" w:color="auto"/>
              <w:bottom w:val="single" w:sz="4" w:space="0" w:color="auto"/>
              <w:right w:val="single" w:sz="4" w:space="0" w:color="auto"/>
            </w:tcBorders>
            <w:hideMark/>
          </w:tcPr>
          <w:p w:rsidR="009501AC" w:rsidRPr="001A49B5" w:rsidRDefault="009501AC" w:rsidP="009501AC">
            <w:pPr>
              <w:pStyle w:val="NoSpacing"/>
              <w:rPr>
                <w:rFonts w:ascii="Arial" w:hAnsi="Arial" w:cs="Arial"/>
                <w:i/>
              </w:rPr>
            </w:pPr>
            <w:r w:rsidRPr="001A49B5">
              <w:rPr>
                <w:rFonts w:ascii="Arial" w:hAnsi="Arial" w:cs="Arial"/>
              </w:rPr>
              <w:t>Revenue forecast outturn % variance to budget</w:t>
            </w:r>
          </w:p>
        </w:tc>
        <w:tc>
          <w:tcPr>
            <w:tcW w:w="1559" w:type="dxa"/>
            <w:tcBorders>
              <w:top w:val="single" w:sz="4" w:space="0" w:color="auto"/>
              <w:left w:val="single" w:sz="4" w:space="0" w:color="auto"/>
              <w:bottom w:val="single" w:sz="4" w:space="0" w:color="auto"/>
              <w:right w:val="single" w:sz="4" w:space="0" w:color="auto"/>
            </w:tcBorders>
            <w:hideMark/>
          </w:tcPr>
          <w:p w:rsidR="009501AC" w:rsidRPr="001A49B5" w:rsidRDefault="009501AC" w:rsidP="009501AC">
            <w:pPr>
              <w:pStyle w:val="NoSpacing"/>
              <w:rPr>
                <w:rFonts w:ascii="Arial" w:hAnsi="Arial" w:cs="Arial"/>
                <w:i/>
              </w:rPr>
            </w:pPr>
            <w:r w:rsidRPr="001A49B5">
              <w:rPr>
                <w:rFonts w:ascii="Arial" w:hAnsi="Arial" w:cs="Arial"/>
              </w:rPr>
              <w:t>Quarterly</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Low</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501AC" w:rsidRPr="001A49B5" w:rsidRDefault="003F3A47" w:rsidP="009501AC">
            <w:pPr>
              <w:pStyle w:val="NoSpacing"/>
              <w:rPr>
                <w:rFonts w:ascii="Arial" w:hAnsi="Arial" w:cs="Arial"/>
              </w:rPr>
            </w:pPr>
            <w:r w:rsidRPr="001A49B5">
              <w:rPr>
                <w:rFonts w:ascii="Arial" w:hAnsi="Arial" w:cs="Arial"/>
              </w:rPr>
              <w:t>-2.52%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501AC" w:rsidRPr="001A49B5" w:rsidRDefault="003F3A47" w:rsidP="009501AC">
            <w:pPr>
              <w:pStyle w:val="NoSpacing"/>
              <w:jc w:val="center"/>
              <w:rPr>
                <w:rFonts w:ascii="Arial" w:hAnsi="Arial" w:cs="Arial"/>
              </w:rPr>
            </w:pPr>
            <w:r w:rsidRPr="001A49B5">
              <w:rPr>
                <w:rFonts w:ascii="Arial" w:hAnsi="Arial" w:cs="Arial"/>
              </w:rPr>
              <w:t>0.06%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501AC" w:rsidRPr="001A49B5" w:rsidRDefault="009501AC" w:rsidP="009501AC">
            <w:pPr>
              <w:pStyle w:val="NoSpacing"/>
              <w:rPr>
                <w:rFonts w:ascii="Arial" w:hAnsi="Arial" w:cs="Arial"/>
              </w:rPr>
            </w:pPr>
            <w:r w:rsidRPr="001A49B5">
              <w:rPr>
                <w:rFonts w:ascii="Arial" w:hAnsi="Arial" w:cs="Arial"/>
              </w:rPr>
              <w:t>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501AC" w:rsidRPr="001A49B5" w:rsidRDefault="003F3A47" w:rsidP="009501AC">
            <w:pPr>
              <w:pStyle w:val="NoSpacing"/>
              <w:rPr>
                <w:rFonts w:ascii="Arial" w:hAnsi="Arial" w:cs="Arial"/>
                <w:i/>
              </w:rPr>
            </w:pPr>
            <w:r w:rsidRPr="001A49B5">
              <w:rPr>
                <w:rFonts w:ascii="Arial" w:hAnsi="Arial" w:cs="Arial"/>
              </w:rPr>
              <w:t>1.68%</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i/>
              </w:rPr>
            </w:pPr>
            <w:r w:rsidRPr="001A49B5">
              <w:rPr>
                <w:rFonts w:ascii="Arial" w:hAnsi="Arial" w:cs="Arial"/>
              </w:rPr>
              <w:t>0</w:t>
            </w:r>
          </w:p>
        </w:tc>
      </w:tr>
      <w:tr w:rsidR="001A49B5" w:rsidRPr="001A49B5"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 xml:space="preserve">Proportion of budget supported by reserves </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Chief Executive and Director of Resources</w:t>
            </w:r>
          </w:p>
        </w:tc>
        <w:tc>
          <w:tcPr>
            <w:tcW w:w="8080" w:type="dxa"/>
            <w:gridSpan w:val="11"/>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 Statement – schedule to be confirmed</w:t>
            </w:r>
          </w:p>
        </w:tc>
      </w:tr>
      <w:tr w:rsidR="002C0FF4" w:rsidRPr="001A49B5" w:rsidTr="002C0FF4">
        <w:trPr>
          <w:trHeight w:val="687"/>
        </w:trPr>
        <w:tc>
          <w:tcPr>
            <w:tcW w:w="2410" w:type="dxa"/>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sidRPr="00FA30B2">
              <w:rPr>
                <w:rFonts w:ascii="Arial" w:hAnsi="Arial" w:cs="Arial"/>
                <w:b/>
              </w:rPr>
              <w:lastRenderedPageBreak/>
              <w:t>Performance Indicator</w:t>
            </w:r>
          </w:p>
        </w:tc>
        <w:tc>
          <w:tcPr>
            <w:tcW w:w="1559" w:type="dxa"/>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sidRPr="00FA30B2">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sidRPr="00FA30B2">
              <w:rPr>
                <w:rFonts w:ascii="Arial" w:hAnsi="Arial" w:cs="Arial"/>
                <w:b/>
              </w:rPr>
              <w:t xml:space="preserve">Directorate </w:t>
            </w:r>
          </w:p>
        </w:tc>
        <w:tc>
          <w:tcPr>
            <w:tcW w:w="1010" w:type="dxa"/>
            <w:gridSpan w:val="2"/>
            <w:tcBorders>
              <w:top w:val="single" w:sz="4" w:space="0" w:color="auto"/>
              <w:left w:val="single" w:sz="4" w:space="0" w:color="auto"/>
              <w:bottom w:val="single" w:sz="4" w:space="0" w:color="auto"/>
              <w:right w:val="single" w:sz="4" w:space="0" w:color="auto"/>
            </w:tcBorders>
          </w:tcPr>
          <w:p w:rsidR="002C0FF4" w:rsidRDefault="002C0FF4" w:rsidP="002C0FF4">
            <w:pPr>
              <w:pStyle w:val="NoSpacing"/>
              <w:rPr>
                <w:rFonts w:ascii="Arial" w:hAnsi="Arial" w:cs="Arial"/>
                <w:b/>
              </w:rPr>
            </w:pPr>
            <w:r>
              <w:rPr>
                <w:rFonts w:ascii="Arial" w:hAnsi="Arial" w:cs="Arial"/>
                <w:b/>
              </w:rPr>
              <w:t>Good is</w:t>
            </w:r>
          </w:p>
        </w:tc>
        <w:tc>
          <w:tcPr>
            <w:tcW w:w="1825" w:type="dxa"/>
            <w:gridSpan w:val="2"/>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Pr>
                <w:rFonts w:ascii="Arial" w:hAnsi="Arial" w:cs="Arial"/>
                <w:b/>
              </w:rPr>
              <w:t>2018/19 Performance</w:t>
            </w:r>
          </w:p>
        </w:tc>
        <w:tc>
          <w:tcPr>
            <w:tcW w:w="851" w:type="dxa"/>
            <w:gridSpan w:val="2"/>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Pr>
                <w:rFonts w:ascii="Arial" w:hAnsi="Arial" w:cs="Arial"/>
                <w:b/>
              </w:rPr>
              <w:t xml:space="preserve">Q1 </w:t>
            </w:r>
          </w:p>
        </w:tc>
        <w:tc>
          <w:tcPr>
            <w:tcW w:w="992" w:type="dxa"/>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Pr>
                <w:rFonts w:ascii="Arial" w:hAnsi="Arial" w:cs="Arial"/>
                <w:b/>
              </w:rPr>
              <w:t>Q2</w:t>
            </w:r>
          </w:p>
        </w:tc>
        <w:tc>
          <w:tcPr>
            <w:tcW w:w="1701" w:type="dxa"/>
            <w:gridSpan w:val="2"/>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sidRPr="00FA30B2">
              <w:rPr>
                <w:rFonts w:ascii="Arial" w:hAnsi="Arial" w:cs="Arial"/>
                <w:b/>
              </w:rPr>
              <w:t xml:space="preserve">Current </w:t>
            </w:r>
            <w:r>
              <w:rPr>
                <w:rFonts w:ascii="Arial" w:hAnsi="Arial" w:cs="Arial"/>
                <w:b/>
              </w:rPr>
              <w:t xml:space="preserve">(Q3) </w:t>
            </w:r>
            <w:r w:rsidRPr="00FA30B2">
              <w:rPr>
                <w:rFonts w:ascii="Arial" w:hAnsi="Arial" w:cs="Arial"/>
                <w:b/>
              </w:rPr>
              <w:t>Performance</w:t>
            </w:r>
          </w:p>
        </w:tc>
        <w:tc>
          <w:tcPr>
            <w:tcW w:w="1701" w:type="dxa"/>
            <w:gridSpan w:val="2"/>
            <w:tcBorders>
              <w:top w:val="single" w:sz="4" w:space="0" w:color="auto"/>
              <w:left w:val="single" w:sz="4" w:space="0" w:color="auto"/>
              <w:bottom w:val="single" w:sz="4" w:space="0" w:color="auto"/>
              <w:right w:val="single" w:sz="4" w:space="0" w:color="auto"/>
            </w:tcBorders>
          </w:tcPr>
          <w:p w:rsidR="002C0FF4" w:rsidRPr="00FA30B2" w:rsidRDefault="002C0FF4" w:rsidP="002C0FF4">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1A49B5" w:rsidRPr="001A49B5"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Progress on the apprenticeship levy</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Chief Executive and Director of Resources</w:t>
            </w:r>
          </w:p>
        </w:tc>
        <w:tc>
          <w:tcPr>
            <w:tcW w:w="8080" w:type="dxa"/>
            <w:gridSpan w:val="11"/>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 Report – schedule to be confirmed</w:t>
            </w:r>
          </w:p>
        </w:tc>
      </w:tr>
      <w:tr w:rsidR="001A49B5" w:rsidRPr="001A49B5"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Audit report</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Chief Executive and Director of Resources</w:t>
            </w:r>
          </w:p>
        </w:tc>
        <w:tc>
          <w:tcPr>
            <w:tcW w:w="8080" w:type="dxa"/>
            <w:gridSpan w:val="11"/>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 Statement – schedule to be confirmed</w:t>
            </w:r>
          </w:p>
        </w:tc>
      </w:tr>
      <w:tr w:rsidR="001A49B5" w:rsidRPr="001A49B5" w:rsidTr="00EC2CD4">
        <w:trPr>
          <w:trHeight w:val="687"/>
        </w:trPr>
        <w:tc>
          <w:tcPr>
            <w:tcW w:w="2410"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 xml:space="preserve">Progress on organisational development </w:t>
            </w:r>
          </w:p>
        </w:tc>
        <w:tc>
          <w:tcPr>
            <w:tcW w:w="1559"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Chief Executive and Director of Resources</w:t>
            </w:r>
          </w:p>
        </w:tc>
        <w:tc>
          <w:tcPr>
            <w:tcW w:w="8080" w:type="dxa"/>
            <w:gridSpan w:val="11"/>
            <w:tcBorders>
              <w:top w:val="single" w:sz="4" w:space="0" w:color="auto"/>
              <w:left w:val="single" w:sz="4" w:space="0" w:color="auto"/>
              <w:bottom w:val="single" w:sz="4" w:space="0" w:color="auto"/>
              <w:right w:val="single" w:sz="4" w:space="0" w:color="auto"/>
            </w:tcBorders>
          </w:tcPr>
          <w:p w:rsidR="009501AC" w:rsidRPr="001A49B5" w:rsidRDefault="009501AC" w:rsidP="009501AC">
            <w:pPr>
              <w:pStyle w:val="NoSpacing"/>
              <w:rPr>
                <w:rFonts w:ascii="Arial" w:hAnsi="Arial" w:cs="Arial"/>
              </w:rPr>
            </w:pPr>
            <w:r w:rsidRPr="001A49B5">
              <w:rPr>
                <w:rFonts w:ascii="Arial" w:hAnsi="Arial" w:cs="Arial"/>
              </w:rPr>
              <w:t>Annual Report – schedule to be confirmed</w:t>
            </w:r>
          </w:p>
        </w:tc>
      </w:tr>
    </w:tbl>
    <w:p w:rsidR="0032288D" w:rsidRPr="001A49B5" w:rsidRDefault="0032288D" w:rsidP="0032288D">
      <w:pPr>
        <w:rPr>
          <w:rFonts w:cs="Arial"/>
          <w:b/>
          <w:color w:val="auto"/>
          <w:sz w:val="22"/>
          <w:szCs w:val="22"/>
        </w:rPr>
      </w:pPr>
    </w:p>
    <w:p w:rsidR="0032288D" w:rsidRPr="001A49B5" w:rsidRDefault="0032288D" w:rsidP="009376E3">
      <w:pPr>
        <w:rPr>
          <w:rFonts w:cs="Arial"/>
          <w:b/>
          <w:color w:val="auto"/>
          <w:sz w:val="22"/>
          <w:szCs w:val="22"/>
        </w:rPr>
      </w:pPr>
      <w:r w:rsidRPr="001A49B5">
        <w:rPr>
          <w:rFonts w:cs="Arial"/>
          <w:b/>
          <w:color w:val="auto"/>
          <w:sz w:val="22"/>
          <w:szCs w:val="22"/>
        </w:rPr>
        <w:t>Revenue forecast outturn % variance to budget</w:t>
      </w:r>
      <w:r w:rsidRPr="001A49B5">
        <w:rPr>
          <w:color w:val="auto"/>
          <w:sz w:val="22"/>
          <w:szCs w:val="22"/>
        </w:rPr>
        <w:t xml:space="preserve"> has moved since </w:t>
      </w:r>
      <w:r w:rsidR="009376E3">
        <w:rPr>
          <w:color w:val="auto"/>
          <w:sz w:val="22"/>
          <w:szCs w:val="22"/>
        </w:rPr>
        <w:t>quarter 2</w:t>
      </w:r>
      <w:r w:rsidRPr="001A49B5">
        <w:rPr>
          <w:color w:val="auto"/>
          <w:sz w:val="22"/>
          <w:szCs w:val="22"/>
        </w:rPr>
        <w:t xml:space="preserve"> as a result of an improved position with respect to further forecast gains as a result of treasury management.</w:t>
      </w:r>
      <w:r w:rsidR="009376E3">
        <w:rPr>
          <w:color w:val="auto"/>
          <w:sz w:val="22"/>
          <w:szCs w:val="22"/>
        </w:rPr>
        <w:t xml:space="preserve"> </w:t>
      </w:r>
      <w:r w:rsidRPr="001A49B5">
        <w:rPr>
          <w:color w:val="auto"/>
          <w:sz w:val="22"/>
          <w:szCs w:val="22"/>
        </w:rPr>
        <w:t>The out turn will always be subject to the vagaries of demand, which can be weather dependent and also on the performance of financial markets.</w:t>
      </w:r>
      <w:r w:rsidR="009376E3">
        <w:rPr>
          <w:color w:val="auto"/>
          <w:sz w:val="22"/>
          <w:szCs w:val="22"/>
        </w:rPr>
        <w:t xml:space="preserve"> </w:t>
      </w:r>
      <w:r w:rsidRPr="001A49B5">
        <w:rPr>
          <w:color w:val="auto"/>
          <w:sz w:val="22"/>
          <w:szCs w:val="22"/>
        </w:rPr>
        <w:t>As a result the indicator as set at 0% variance is an ideal target but would require a unique set of circumstances to deliver.</w:t>
      </w:r>
    </w:p>
    <w:p w:rsidR="0032288D" w:rsidRPr="001A49B5" w:rsidRDefault="0032288D" w:rsidP="0032288D">
      <w:pPr>
        <w:autoSpaceDE/>
        <w:autoSpaceDN/>
        <w:adjustRightInd/>
        <w:spacing w:after="0"/>
        <w:jc w:val="left"/>
        <w:rPr>
          <w:rFonts w:cs="Arial"/>
          <w:b/>
          <w:color w:val="auto"/>
        </w:rPr>
      </w:pPr>
    </w:p>
    <w:p w:rsidR="0032288D" w:rsidRPr="001A49B5" w:rsidRDefault="0032288D" w:rsidP="002A7CA1">
      <w:pPr>
        <w:autoSpaceDE/>
        <w:autoSpaceDN/>
        <w:adjustRightInd/>
        <w:spacing w:after="0"/>
        <w:rPr>
          <w:rFonts w:cs="Arial"/>
          <w:color w:val="auto"/>
          <w:sz w:val="22"/>
          <w:szCs w:val="22"/>
        </w:rPr>
      </w:pPr>
      <w:r w:rsidRPr="001A49B5">
        <w:rPr>
          <w:rFonts w:cs="Arial"/>
          <w:b/>
          <w:color w:val="auto"/>
          <w:sz w:val="22"/>
          <w:szCs w:val="22"/>
        </w:rPr>
        <w:t>Sickness absence</w:t>
      </w:r>
      <w:r w:rsidRPr="001A49B5">
        <w:rPr>
          <w:rFonts w:cs="Arial"/>
          <w:color w:val="auto"/>
          <w:sz w:val="22"/>
          <w:szCs w:val="22"/>
        </w:rPr>
        <w:t xml:space="preserve"> has increased authority wide for the period January 2019 to December 2019 (12.28 days per FTE) compared to the same period last year (12.00 days per FTE).  </w:t>
      </w:r>
      <w:r w:rsidR="009376E3">
        <w:rPr>
          <w:rFonts w:cs="Arial"/>
          <w:color w:val="auto"/>
          <w:sz w:val="22"/>
          <w:szCs w:val="22"/>
        </w:rPr>
        <w:t>There has been</w:t>
      </w:r>
      <w:r w:rsidRPr="001A49B5">
        <w:rPr>
          <w:rFonts w:cs="Arial"/>
          <w:color w:val="auto"/>
          <w:sz w:val="22"/>
          <w:szCs w:val="22"/>
        </w:rPr>
        <w:t xml:space="preserve"> an increase in</w:t>
      </w:r>
      <w:r w:rsidR="009376E3">
        <w:rPr>
          <w:rFonts w:cs="Arial"/>
          <w:color w:val="auto"/>
          <w:sz w:val="22"/>
          <w:szCs w:val="22"/>
        </w:rPr>
        <w:t xml:space="preserve"> the overall figure in December.</w:t>
      </w:r>
      <w:r w:rsidRPr="001A49B5">
        <w:rPr>
          <w:rFonts w:cs="Arial"/>
          <w:color w:val="auto"/>
          <w:sz w:val="22"/>
          <w:szCs w:val="22"/>
        </w:rPr>
        <w:t xml:space="preserve"> Mental Health remains the top reason for absence which has continued to rise each month. Our data indicates there was an increase in days lost between November and December for absences relating to flu, virus, chest infection and cough/cold.</w:t>
      </w:r>
    </w:p>
    <w:p w:rsidR="0032288D" w:rsidRPr="001A49B5" w:rsidRDefault="0032288D" w:rsidP="0032288D">
      <w:pPr>
        <w:autoSpaceDE/>
        <w:autoSpaceDN/>
        <w:adjustRightInd/>
        <w:spacing w:after="0"/>
        <w:jc w:val="left"/>
        <w:rPr>
          <w:rFonts w:cs="Arial"/>
          <w:color w:val="auto"/>
          <w:sz w:val="22"/>
          <w:szCs w:val="22"/>
        </w:rPr>
      </w:pPr>
    </w:p>
    <w:p w:rsidR="0032288D" w:rsidRPr="001A49B5" w:rsidRDefault="009376E3" w:rsidP="0032288D">
      <w:pPr>
        <w:rPr>
          <w:rFonts w:cs="Arial"/>
          <w:color w:val="auto"/>
          <w:sz w:val="22"/>
          <w:szCs w:val="22"/>
        </w:rPr>
      </w:pPr>
      <w:r>
        <w:rPr>
          <w:rFonts w:cs="Arial"/>
          <w:color w:val="auto"/>
          <w:sz w:val="22"/>
          <w:szCs w:val="22"/>
        </w:rPr>
        <w:t>T</w:t>
      </w:r>
      <w:r w:rsidR="0032288D" w:rsidRPr="001A49B5">
        <w:rPr>
          <w:rFonts w:cs="Arial"/>
          <w:color w:val="auto"/>
          <w:sz w:val="22"/>
          <w:szCs w:val="22"/>
        </w:rPr>
        <w:t>he volume of absence briefings planned throughout the next month</w:t>
      </w:r>
      <w:r>
        <w:rPr>
          <w:rFonts w:cs="Arial"/>
          <w:color w:val="auto"/>
          <w:sz w:val="22"/>
          <w:szCs w:val="22"/>
        </w:rPr>
        <w:t>s</w:t>
      </w:r>
      <w:r w:rsidR="0032288D" w:rsidRPr="001A49B5">
        <w:rPr>
          <w:rFonts w:cs="Arial"/>
          <w:color w:val="auto"/>
          <w:sz w:val="22"/>
          <w:szCs w:val="22"/>
        </w:rPr>
        <w:t xml:space="preserve"> </w:t>
      </w:r>
      <w:r>
        <w:rPr>
          <w:rFonts w:cs="Arial"/>
          <w:color w:val="auto"/>
          <w:sz w:val="22"/>
          <w:szCs w:val="22"/>
        </w:rPr>
        <w:t xml:space="preserve">has been increased and </w:t>
      </w:r>
      <w:r w:rsidR="0032288D" w:rsidRPr="001A49B5">
        <w:rPr>
          <w:rFonts w:cs="Arial"/>
          <w:color w:val="auto"/>
          <w:sz w:val="22"/>
          <w:szCs w:val="22"/>
        </w:rPr>
        <w:t>expanded across more service areas. This is as a result of the positive impact identified on performance from previous briefings. The intention is also to conduct health audits on relevant service areas to identify trends and problem areas in order to offer more targeted support.</w:t>
      </w:r>
      <w:r>
        <w:rPr>
          <w:rFonts w:cs="Arial"/>
          <w:color w:val="auto"/>
          <w:sz w:val="22"/>
          <w:szCs w:val="22"/>
        </w:rPr>
        <w:t xml:space="preserve"> </w:t>
      </w:r>
      <w:r w:rsidR="0032288D" w:rsidRPr="001A49B5">
        <w:rPr>
          <w:rFonts w:cs="Arial"/>
          <w:color w:val="auto"/>
          <w:sz w:val="22"/>
          <w:szCs w:val="22"/>
        </w:rPr>
        <w:t>Additional resource has been implemented by Occupational Health which will result in an additional 150 advisor appointments available before the end of January 2020, this should have an impact on the outstanding cases.</w:t>
      </w:r>
    </w:p>
    <w:p w:rsidR="004D0AF9" w:rsidRPr="00FA30B2" w:rsidRDefault="004D0AF9" w:rsidP="002838F2">
      <w:pPr>
        <w:rPr>
          <w:sz w:val="22"/>
          <w:szCs w:val="22"/>
        </w:rPr>
      </w:pPr>
    </w:p>
    <w:sectPr w:rsidR="004D0AF9" w:rsidRPr="00FA30B2" w:rsidSect="0014394D">
      <w:footerReference w:type="default" r:id="rId8"/>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4D" w:rsidRDefault="0014394D" w:rsidP="002D6E2A">
      <w:pPr>
        <w:spacing w:after="0"/>
      </w:pPr>
      <w:r>
        <w:separator/>
      </w:r>
    </w:p>
  </w:endnote>
  <w:endnote w:type="continuationSeparator" w:id="0">
    <w:p w:rsidR="0014394D" w:rsidRDefault="0014394D" w:rsidP="002D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59851"/>
      <w:docPartObj>
        <w:docPartGallery w:val="Page Numbers (Bottom of Page)"/>
        <w:docPartUnique/>
      </w:docPartObj>
    </w:sdtPr>
    <w:sdtEndPr>
      <w:rPr>
        <w:noProof/>
      </w:rPr>
    </w:sdtEndPr>
    <w:sdtContent>
      <w:p w:rsidR="0014394D" w:rsidRDefault="0014394D" w:rsidP="0014394D">
        <w:pPr>
          <w:pStyle w:val="Footer"/>
          <w:jc w:val="right"/>
        </w:pPr>
        <w:r>
          <w:fldChar w:fldCharType="begin"/>
        </w:r>
        <w:r>
          <w:instrText xml:space="preserve"> PAGE   \* MERGEFORMAT </w:instrText>
        </w:r>
        <w:r>
          <w:fldChar w:fldCharType="separate"/>
        </w:r>
        <w:r w:rsidR="00FB76DF">
          <w:rPr>
            <w:noProof/>
          </w:rPr>
          <w:t>9</w:t>
        </w:r>
        <w:r>
          <w:rPr>
            <w:noProof/>
          </w:rPr>
          <w:fldChar w:fldCharType="end"/>
        </w:r>
      </w:p>
    </w:sdtContent>
  </w:sdt>
  <w:p w:rsidR="0014394D" w:rsidRDefault="0014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4D" w:rsidRDefault="0014394D" w:rsidP="002D6E2A">
      <w:pPr>
        <w:spacing w:after="0"/>
      </w:pPr>
      <w:r>
        <w:separator/>
      </w:r>
    </w:p>
  </w:footnote>
  <w:footnote w:type="continuationSeparator" w:id="0">
    <w:p w:rsidR="0014394D" w:rsidRDefault="0014394D" w:rsidP="002D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4D" w:rsidRDefault="0014394D" w:rsidP="0014394D">
    <w:pPr>
      <w:pStyle w:val="Header"/>
      <w:tabs>
        <w:tab w:val="clear" w:pos="4513"/>
        <w:tab w:val="clear" w:pos="9026"/>
        <w:tab w:val="left" w:pos="8415"/>
      </w:tabs>
      <w:jc w:val="right"/>
    </w:pPr>
    <w:r>
      <w:t>Corporate Strategy Key Performance Indicators</w:t>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41"/>
    <w:multiLevelType w:val="hybridMultilevel"/>
    <w:tmpl w:val="8BFAA1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A866933"/>
    <w:multiLevelType w:val="hybridMultilevel"/>
    <w:tmpl w:val="347E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40B14"/>
    <w:multiLevelType w:val="hybridMultilevel"/>
    <w:tmpl w:val="6C64B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D81F64"/>
    <w:multiLevelType w:val="hybridMultilevel"/>
    <w:tmpl w:val="3446D9CA"/>
    <w:lvl w:ilvl="0" w:tplc="B400F082">
      <w:start w:val="73"/>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E063D81"/>
    <w:multiLevelType w:val="hybridMultilevel"/>
    <w:tmpl w:val="840C3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D2E20FD"/>
    <w:multiLevelType w:val="hybridMultilevel"/>
    <w:tmpl w:val="13B43000"/>
    <w:lvl w:ilvl="0" w:tplc="19A4078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8863B9F"/>
    <w:multiLevelType w:val="hybridMultilevel"/>
    <w:tmpl w:val="FE385B16"/>
    <w:lvl w:ilvl="0" w:tplc="C456A9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D33B3A"/>
    <w:multiLevelType w:val="hybridMultilevel"/>
    <w:tmpl w:val="4BA8D63C"/>
    <w:lvl w:ilvl="0" w:tplc="4BD454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751888"/>
    <w:multiLevelType w:val="hybridMultilevel"/>
    <w:tmpl w:val="27CAC658"/>
    <w:lvl w:ilvl="0" w:tplc="EA0A043E">
      <w:start w:val="1"/>
      <w:numFmt w:val="decimal"/>
      <w:lvlText w:val="(%1)"/>
      <w:lvlJc w:val="left"/>
      <w:pPr>
        <w:ind w:left="360" w:hanging="360"/>
      </w:pPr>
      <w:rPr>
        <w:sz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7D5E5F29"/>
    <w:multiLevelType w:val="hybridMultilevel"/>
    <w:tmpl w:val="01C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9"/>
  </w:num>
  <w:num w:numId="6">
    <w:abstractNumId w:val="3"/>
  </w:num>
  <w:num w:numId="7">
    <w:abstractNumId w:val="5"/>
  </w:num>
  <w:num w:numId="8">
    <w:abstractNumId w:val="6"/>
  </w:num>
  <w:num w:numId="9">
    <w:abstractNumId w:val="7"/>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F2"/>
    <w:rsid w:val="00004D29"/>
    <w:rsid w:val="00007585"/>
    <w:rsid w:val="0001784B"/>
    <w:rsid w:val="0007395C"/>
    <w:rsid w:val="00077DB5"/>
    <w:rsid w:val="00095911"/>
    <w:rsid w:val="000A096A"/>
    <w:rsid w:val="000C39DD"/>
    <w:rsid w:val="000D4197"/>
    <w:rsid w:val="000D73D8"/>
    <w:rsid w:val="000E18E8"/>
    <w:rsid w:val="000E3ED3"/>
    <w:rsid w:val="000E7FC3"/>
    <w:rsid w:val="000F02F4"/>
    <w:rsid w:val="000F3FBE"/>
    <w:rsid w:val="00123509"/>
    <w:rsid w:val="00123E07"/>
    <w:rsid w:val="00125A36"/>
    <w:rsid w:val="001332EE"/>
    <w:rsid w:val="00142C67"/>
    <w:rsid w:val="0014394D"/>
    <w:rsid w:val="00145B8D"/>
    <w:rsid w:val="0015724F"/>
    <w:rsid w:val="0016448F"/>
    <w:rsid w:val="0018011B"/>
    <w:rsid w:val="00184555"/>
    <w:rsid w:val="001A400A"/>
    <w:rsid w:val="001A49B5"/>
    <w:rsid w:val="001A4D23"/>
    <w:rsid w:val="001A6A43"/>
    <w:rsid w:val="001B1422"/>
    <w:rsid w:val="001C6468"/>
    <w:rsid w:val="001D0FE5"/>
    <w:rsid w:val="001E7348"/>
    <w:rsid w:val="001F7C2A"/>
    <w:rsid w:val="00210103"/>
    <w:rsid w:val="002205AF"/>
    <w:rsid w:val="002277A1"/>
    <w:rsid w:val="00276CE3"/>
    <w:rsid w:val="002838F2"/>
    <w:rsid w:val="0028634B"/>
    <w:rsid w:val="002925B8"/>
    <w:rsid w:val="00296833"/>
    <w:rsid w:val="002A70FC"/>
    <w:rsid w:val="002A7CA1"/>
    <w:rsid w:val="002B3909"/>
    <w:rsid w:val="002C0FF4"/>
    <w:rsid w:val="002D0EDC"/>
    <w:rsid w:val="002D6E2A"/>
    <w:rsid w:val="002E07BB"/>
    <w:rsid w:val="002E4EC4"/>
    <w:rsid w:val="002E7879"/>
    <w:rsid w:val="002F513B"/>
    <w:rsid w:val="002F5A3E"/>
    <w:rsid w:val="002F68A7"/>
    <w:rsid w:val="003046A3"/>
    <w:rsid w:val="00305F3A"/>
    <w:rsid w:val="00315598"/>
    <w:rsid w:val="0031637E"/>
    <w:rsid w:val="0032288D"/>
    <w:rsid w:val="00323412"/>
    <w:rsid w:val="00323A5D"/>
    <w:rsid w:val="003454EB"/>
    <w:rsid w:val="00362CF6"/>
    <w:rsid w:val="00383C23"/>
    <w:rsid w:val="00390F6A"/>
    <w:rsid w:val="003914B1"/>
    <w:rsid w:val="003B2001"/>
    <w:rsid w:val="003B2220"/>
    <w:rsid w:val="003C4E41"/>
    <w:rsid w:val="003E101A"/>
    <w:rsid w:val="003E4409"/>
    <w:rsid w:val="003F3A47"/>
    <w:rsid w:val="003F7F3F"/>
    <w:rsid w:val="00415612"/>
    <w:rsid w:val="00434916"/>
    <w:rsid w:val="004511EF"/>
    <w:rsid w:val="00452236"/>
    <w:rsid w:val="00475DFB"/>
    <w:rsid w:val="0048285A"/>
    <w:rsid w:val="00497F1B"/>
    <w:rsid w:val="004B0886"/>
    <w:rsid w:val="004B3AF3"/>
    <w:rsid w:val="004B628C"/>
    <w:rsid w:val="004D0AF9"/>
    <w:rsid w:val="004D0B0A"/>
    <w:rsid w:val="004D1B4E"/>
    <w:rsid w:val="004D430F"/>
    <w:rsid w:val="004F0D7F"/>
    <w:rsid w:val="004F3ABA"/>
    <w:rsid w:val="004F7941"/>
    <w:rsid w:val="00501E98"/>
    <w:rsid w:val="00510628"/>
    <w:rsid w:val="005109F6"/>
    <w:rsid w:val="00511644"/>
    <w:rsid w:val="00515537"/>
    <w:rsid w:val="00517843"/>
    <w:rsid w:val="00521E6E"/>
    <w:rsid w:val="00524B26"/>
    <w:rsid w:val="00534664"/>
    <w:rsid w:val="00536E6E"/>
    <w:rsid w:val="005373D9"/>
    <w:rsid w:val="005414FB"/>
    <w:rsid w:val="00545FE0"/>
    <w:rsid w:val="0056032A"/>
    <w:rsid w:val="00562BD5"/>
    <w:rsid w:val="00570C7D"/>
    <w:rsid w:val="00574087"/>
    <w:rsid w:val="0057583C"/>
    <w:rsid w:val="00582D6F"/>
    <w:rsid w:val="0058536A"/>
    <w:rsid w:val="005B010D"/>
    <w:rsid w:val="005B4AFF"/>
    <w:rsid w:val="005C0C77"/>
    <w:rsid w:val="005C7158"/>
    <w:rsid w:val="005F1C30"/>
    <w:rsid w:val="005F476B"/>
    <w:rsid w:val="005F6297"/>
    <w:rsid w:val="00607777"/>
    <w:rsid w:val="0061728D"/>
    <w:rsid w:val="00621C4A"/>
    <w:rsid w:val="00622E7F"/>
    <w:rsid w:val="00623C95"/>
    <w:rsid w:val="00623DF2"/>
    <w:rsid w:val="00635E3B"/>
    <w:rsid w:val="00636D1F"/>
    <w:rsid w:val="0066391A"/>
    <w:rsid w:val="00667BA1"/>
    <w:rsid w:val="00670B66"/>
    <w:rsid w:val="006736B7"/>
    <w:rsid w:val="00681240"/>
    <w:rsid w:val="00682025"/>
    <w:rsid w:val="006949CD"/>
    <w:rsid w:val="006A02E4"/>
    <w:rsid w:val="006A4BA2"/>
    <w:rsid w:val="006A540B"/>
    <w:rsid w:val="006B253F"/>
    <w:rsid w:val="006D1B9B"/>
    <w:rsid w:val="006D2B1F"/>
    <w:rsid w:val="006E6C86"/>
    <w:rsid w:val="006E78F5"/>
    <w:rsid w:val="007166A5"/>
    <w:rsid w:val="00720507"/>
    <w:rsid w:val="007226BB"/>
    <w:rsid w:val="00725D0F"/>
    <w:rsid w:val="0074509D"/>
    <w:rsid w:val="00747BFD"/>
    <w:rsid w:val="0075357F"/>
    <w:rsid w:val="00762D7E"/>
    <w:rsid w:val="007713AF"/>
    <w:rsid w:val="00787507"/>
    <w:rsid w:val="00794E18"/>
    <w:rsid w:val="007A0EFB"/>
    <w:rsid w:val="007A35D1"/>
    <w:rsid w:val="007A3B24"/>
    <w:rsid w:val="007D2E16"/>
    <w:rsid w:val="007D73D0"/>
    <w:rsid w:val="007F0214"/>
    <w:rsid w:val="007F71D4"/>
    <w:rsid w:val="0080455B"/>
    <w:rsid w:val="00811841"/>
    <w:rsid w:val="008209DC"/>
    <w:rsid w:val="0084610D"/>
    <w:rsid w:val="00846683"/>
    <w:rsid w:val="0085231B"/>
    <w:rsid w:val="00852922"/>
    <w:rsid w:val="0086641D"/>
    <w:rsid w:val="00894433"/>
    <w:rsid w:val="00894AF1"/>
    <w:rsid w:val="00897C4F"/>
    <w:rsid w:val="008A0758"/>
    <w:rsid w:val="008A3559"/>
    <w:rsid w:val="008A4314"/>
    <w:rsid w:val="008C099E"/>
    <w:rsid w:val="008D39B9"/>
    <w:rsid w:val="008D39EF"/>
    <w:rsid w:val="008E2F87"/>
    <w:rsid w:val="008E5464"/>
    <w:rsid w:val="008F0670"/>
    <w:rsid w:val="009115D0"/>
    <w:rsid w:val="00916017"/>
    <w:rsid w:val="00930111"/>
    <w:rsid w:val="00933E74"/>
    <w:rsid w:val="00936BE0"/>
    <w:rsid w:val="0093720F"/>
    <w:rsid w:val="009376E3"/>
    <w:rsid w:val="009421AC"/>
    <w:rsid w:val="00943BB6"/>
    <w:rsid w:val="009501AC"/>
    <w:rsid w:val="00951F3F"/>
    <w:rsid w:val="00963EA0"/>
    <w:rsid w:val="00970DA7"/>
    <w:rsid w:val="0099341C"/>
    <w:rsid w:val="009943A5"/>
    <w:rsid w:val="00994DD6"/>
    <w:rsid w:val="009A456D"/>
    <w:rsid w:val="009B2680"/>
    <w:rsid w:val="009B51FC"/>
    <w:rsid w:val="009B6205"/>
    <w:rsid w:val="009D03DD"/>
    <w:rsid w:val="009E6494"/>
    <w:rsid w:val="009E7D1F"/>
    <w:rsid w:val="009F2F70"/>
    <w:rsid w:val="009F6464"/>
    <w:rsid w:val="00A00251"/>
    <w:rsid w:val="00A16FB8"/>
    <w:rsid w:val="00A225F1"/>
    <w:rsid w:val="00A30BAB"/>
    <w:rsid w:val="00A32ABB"/>
    <w:rsid w:val="00A444FA"/>
    <w:rsid w:val="00A60246"/>
    <w:rsid w:val="00A766E4"/>
    <w:rsid w:val="00AA78A1"/>
    <w:rsid w:val="00AB4748"/>
    <w:rsid w:val="00AB7002"/>
    <w:rsid w:val="00AC07E2"/>
    <w:rsid w:val="00AC478F"/>
    <w:rsid w:val="00B03CC9"/>
    <w:rsid w:val="00B17C59"/>
    <w:rsid w:val="00B25A31"/>
    <w:rsid w:val="00B3001C"/>
    <w:rsid w:val="00B36867"/>
    <w:rsid w:val="00B410C4"/>
    <w:rsid w:val="00B42F15"/>
    <w:rsid w:val="00B47564"/>
    <w:rsid w:val="00B611B1"/>
    <w:rsid w:val="00B716A4"/>
    <w:rsid w:val="00B81A8A"/>
    <w:rsid w:val="00BB542A"/>
    <w:rsid w:val="00BC2282"/>
    <w:rsid w:val="00BC5238"/>
    <w:rsid w:val="00BD4E0A"/>
    <w:rsid w:val="00BE03D2"/>
    <w:rsid w:val="00BE1158"/>
    <w:rsid w:val="00BE5FA3"/>
    <w:rsid w:val="00BE6AA7"/>
    <w:rsid w:val="00BF14DE"/>
    <w:rsid w:val="00BF329F"/>
    <w:rsid w:val="00C00EB5"/>
    <w:rsid w:val="00C016CE"/>
    <w:rsid w:val="00C07EA2"/>
    <w:rsid w:val="00C131B4"/>
    <w:rsid w:val="00C175DE"/>
    <w:rsid w:val="00C558E7"/>
    <w:rsid w:val="00C573CC"/>
    <w:rsid w:val="00C8209F"/>
    <w:rsid w:val="00C90933"/>
    <w:rsid w:val="00C935C8"/>
    <w:rsid w:val="00C93CE9"/>
    <w:rsid w:val="00CA16D5"/>
    <w:rsid w:val="00CB094D"/>
    <w:rsid w:val="00CB48F3"/>
    <w:rsid w:val="00CC1A92"/>
    <w:rsid w:val="00CC5F21"/>
    <w:rsid w:val="00CD098B"/>
    <w:rsid w:val="00CE2CB0"/>
    <w:rsid w:val="00CF2155"/>
    <w:rsid w:val="00D05596"/>
    <w:rsid w:val="00D17986"/>
    <w:rsid w:val="00D4077C"/>
    <w:rsid w:val="00D43784"/>
    <w:rsid w:val="00D533EB"/>
    <w:rsid w:val="00D62D39"/>
    <w:rsid w:val="00D85B53"/>
    <w:rsid w:val="00D94D1E"/>
    <w:rsid w:val="00D970F9"/>
    <w:rsid w:val="00DA3C5A"/>
    <w:rsid w:val="00DB103C"/>
    <w:rsid w:val="00DD1200"/>
    <w:rsid w:val="00DD1E30"/>
    <w:rsid w:val="00DD759D"/>
    <w:rsid w:val="00DE0951"/>
    <w:rsid w:val="00DE3BAA"/>
    <w:rsid w:val="00DF5BC6"/>
    <w:rsid w:val="00E0776C"/>
    <w:rsid w:val="00E2129C"/>
    <w:rsid w:val="00E33F1C"/>
    <w:rsid w:val="00E34B2E"/>
    <w:rsid w:val="00E34EF7"/>
    <w:rsid w:val="00E43EEA"/>
    <w:rsid w:val="00E52877"/>
    <w:rsid w:val="00E61B2D"/>
    <w:rsid w:val="00E62FF2"/>
    <w:rsid w:val="00E70623"/>
    <w:rsid w:val="00E719E0"/>
    <w:rsid w:val="00E7782A"/>
    <w:rsid w:val="00E9388A"/>
    <w:rsid w:val="00E94802"/>
    <w:rsid w:val="00EA51FD"/>
    <w:rsid w:val="00EA59E0"/>
    <w:rsid w:val="00EB1875"/>
    <w:rsid w:val="00EC2CD4"/>
    <w:rsid w:val="00EC41CB"/>
    <w:rsid w:val="00ED666D"/>
    <w:rsid w:val="00EF3F00"/>
    <w:rsid w:val="00EF7133"/>
    <w:rsid w:val="00EF7805"/>
    <w:rsid w:val="00F23C1E"/>
    <w:rsid w:val="00F24A95"/>
    <w:rsid w:val="00F26156"/>
    <w:rsid w:val="00F33B29"/>
    <w:rsid w:val="00F34485"/>
    <w:rsid w:val="00F34541"/>
    <w:rsid w:val="00F37071"/>
    <w:rsid w:val="00F51064"/>
    <w:rsid w:val="00F55678"/>
    <w:rsid w:val="00F6393B"/>
    <w:rsid w:val="00F844C6"/>
    <w:rsid w:val="00F84BF2"/>
    <w:rsid w:val="00F871B6"/>
    <w:rsid w:val="00FA21FC"/>
    <w:rsid w:val="00FA30B2"/>
    <w:rsid w:val="00FA35E5"/>
    <w:rsid w:val="00FA732D"/>
    <w:rsid w:val="00FB76DF"/>
    <w:rsid w:val="00FC4314"/>
    <w:rsid w:val="00FD3D3D"/>
    <w:rsid w:val="00FF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7D091"/>
  <w15:chartTrackingRefBased/>
  <w15:docId w15:val="{13BBBC00-09CD-4DF7-AC26-320DFF6B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838F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2838F2"/>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nhideWhenUsed/>
    <w:qFormat/>
    <w:rsid w:val="002838F2"/>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F2"/>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2838F2"/>
    <w:rPr>
      <w:rFonts w:ascii="Arial" w:eastAsia="Times New Roman" w:hAnsi="Arial" w:cs="Helvetica-Light"/>
      <w:b/>
      <w:bCs/>
      <w:color w:val="000000"/>
      <w:sz w:val="32"/>
      <w:szCs w:val="26"/>
      <w:lang w:eastAsia="en-GB"/>
    </w:rPr>
  </w:style>
  <w:style w:type="paragraph" w:styleId="NoSpacing">
    <w:name w:val="No Spacing"/>
    <w:link w:val="NoSpacingChar"/>
    <w:uiPriority w:val="1"/>
    <w:qFormat/>
    <w:rsid w:val="002838F2"/>
    <w:pPr>
      <w:spacing w:after="0" w:line="240" w:lineRule="auto"/>
    </w:pPr>
    <w:rPr>
      <w:rFonts w:ascii="Calibri" w:eastAsia="Calibri" w:hAnsi="Calibri" w:cs="Times New Roman"/>
    </w:rPr>
  </w:style>
  <w:style w:type="paragraph" w:styleId="ListParagraph">
    <w:name w:val="List Paragraph"/>
    <w:basedOn w:val="Normal"/>
    <w:uiPriority w:val="34"/>
    <w:qFormat/>
    <w:rsid w:val="002838F2"/>
    <w:pPr>
      <w:ind w:left="720"/>
      <w:contextualSpacing/>
    </w:pPr>
  </w:style>
  <w:style w:type="paragraph" w:styleId="BalloonText">
    <w:name w:val="Balloon Text"/>
    <w:basedOn w:val="Normal"/>
    <w:link w:val="BalloonTextChar"/>
    <w:uiPriority w:val="99"/>
    <w:semiHidden/>
    <w:unhideWhenUsed/>
    <w:rsid w:val="00276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E3"/>
    <w:rPr>
      <w:rFonts w:ascii="Segoe UI" w:eastAsia="Calibri" w:hAnsi="Segoe UI" w:cs="Segoe UI"/>
      <w:color w:val="000000"/>
      <w:sz w:val="18"/>
      <w:szCs w:val="18"/>
    </w:rPr>
  </w:style>
  <w:style w:type="paragraph" w:styleId="Header">
    <w:name w:val="header"/>
    <w:basedOn w:val="Normal"/>
    <w:link w:val="HeaderChar"/>
    <w:uiPriority w:val="99"/>
    <w:unhideWhenUsed/>
    <w:rsid w:val="002D6E2A"/>
    <w:pPr>
      <w:tabs>
        <w:tab w:val="center" w:pos="4513"/>
        <w:tab w:val="right" w:pos="9026"/>
      </w:tabs>
      <w:spacing w:after="0"/>
    </w:pPr>
  </w:style>
  <w:style w:type="character" w:customStyle="1" w:styleId="HeaderChar">
    <w:name w:val="Header Char"/>
    <w:basedOn w:val="DefaultParagraphFont"/>
    <w:link w:val="Header"/>
    <w:uiPriority w:val="99"/>
    <w:rsid w:val="002D6E2A"/>
    <w:rPr>
      <w:rFonts w:ascii="Arial" w:eastAsia="Calibri" w:hAnsi="Arial" w:cs="Helvetica-Light"/>
      <w:color w:val="000000"/>
      <w:sz w:val="24"/>
      <w:szCs w:val="24"/>
    </w:rPr>
  </w:style>
  <w:style w:type="paragraph" w:styleId="Footer">
    <w:name w:val="footer"/>
    <w:basedOn w:val="Normal"/>
    <w:link w:val="FooterChar"/>
    <w:uiPriority w:val="99"/>
    <w:unhideWhenUsed/>
    <w:rsid w:val="002D6E2A"/>
    <w:pPr>
      <w:tabs>
        <w:tab w:val="center" w:pos="4513"/>
        <w:tab w:val="right" w:pos="9026"/>
      </w:tabs>
      <w:spacing w:after="0"/>
    </w:pPr>
  </w:style>
  <w:style w:type="character" w:customStyle="1" w:styleId="FooterChar">
    <w:name w:val="Footer Char"/>
    <w:basedOn w:val="DefaultParagraphFont"/>
    <w:link w:val="Footer"/>
    <w:uiPriority w:val="99"/>
    <w:rsid w:val="002D6E2A"/>
    <w:rPr>
      <w:rFonts w:ascii="Arial" w:eastAsia="Calibri" w:hAnsi="Arial" w:cs="Helvetica-Light"/>
      <w:color w:val="000000"/>
      <w:sz w:val="24"/>
      <w:szCs w:val="24"/>
    </w:rPr>
  </w:style>
  <w:style w:type="character" w:customStyle="1" w:styleId="NoSpacingChar">
    <w:name w:val="No Spacing Char"/>
    <w:link w:val="NoSpacing"/>
    <w:uiPriority w:val="1"/>
    <w:rsid w:val="001D0F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561">
      <w:bodyDiv w:val="1"/>
      <w:marLeft w:val="0"/>
      <w:marRight w:val="0"/>
      <w:marTop w:val="0"/>
      <w:marBottom w:val="0"/>
      <w:divBdr>
        <w:top w:val="none" w:sz="0" w:space="0" w:color="auto"/>
        <w:left w:val="none" w:sz="0" w:space="0" w:color="auto"/>
        <w:bottom w:val="none" w:sz="0" w:space="0" w:color="auto"/>
        <w:right w:val="none" w:sz="0" w:space="0" w:color="auto"/>
      </w:divBdr>
    </w:div>
    <w:div w:id="692077992">
      <w:bodyDiv w:val="1"/>
      <w:marLeft w:val="0"/>
      <w:marRight w:val="0"/>
      <w:marTop w:val="0"/>
      <w:marBottom w:val="0"/>
      <w:divBdr>
        <w:top w:val="none" w:sz="0" w:space="0" w:color="auto"/>
        <w:left w:val="none" w:sz="0" w:space="0" w:color="auto"/>
        <w:bottom w:val="none" w:sz="0" w:space="0" w:color="auto"/>
        <w:right w:val="none" w:sz="0" w:space="0" w:color="auto"/>
      </w:divBdr>
    </w:div>
    <w:div w:id="764156591">
      <w:bodyDiv w:val="1"/>
      <w:marLeft w:val="0"/>
      <w:marRight w:val="0"/>
      <w:marTop w:val="0"/>
      <w:marBottom w:val="0"/>
      <w:divBdr>
        <w:top w:val="none" w:sz="0" w:space="0" w:color="auto"/>
        <w:left w:val="none" w:sz="0" w:space="0" w:color="auto"/>
        <w:bottom w:val="none" w:sz="0" w:space="0" w:color="auto"/>
        <w:right w:val="none" w:sz="0" w:space="0" w:color="auto"/>
      </w:divBdr>
    </w:div>
    <w:div w:id="1315138848">
      <w:bodyDiv w:val="1"/>
      <w:marLeft w:val="0"/>
      <w:marRight w:val="0"/>
      <w:marTop w:val="0"/>
      <w:marBottom w:val="0"/>
      <w:divBdr>
        <w:top w:val="none" w:sz="0" w:space="0" w:color="auto"/>
        <w:left w:val="none" w:sz="0" w:space="0" w:color="auto"/>
        <w:bottom w:val="none" w:sz="0" w:space="0" w:color="auto"/>
        <w:right w:val="none" w:sz="0" w:space="0" w:color="auto"/>
      </w:divBdr>
    </w:div>
    <w:div w:id="1378243167">
      <w:bodyDiv w:val="1"/>
      <w:marLeft w:val="0"/>
      <w:marRight w:val="0"/>
      <w:marTop w:val="0"/>
      <w:marBottom w:val="0"/>
      <w:divBdr>
        <w:top w:val="none" w:sz="0" w:space="0" w:color="auto"/>
        <w:left w:val="none" w:sz="0" w:space="0" w:color="auto"/>
        <w:bottom w:val="none" w:sz="0" w:space="0" w:color="auto"/>
        <w:right w:val="none" w:sz="0" w:space="0" w:color="auto"/>
      </w:divBdr>
    </w:div>
    <w:div w:id="1471677440">
      <w:bodyDiv w:val="1"/>
      <w:marLeft w:val="0"/>
      <w:marRight w:val="0"/>
      <w:marTop w:val="0"/>
      <w:marBottom w:val="0"/>
      <w:divBdr>
        <w:top w:val="none" w:sz="0" w:space="0" w:color="auto"/>
        <w:left w:val="none" w:sz="0" w:space="0" w:color="auto"/>
        <w:bottom w:val="none" w:sz="0" w:space="0" w:color="auto"/>
        <w:right w:val="none" w:sz="0" w:space="0" w:color="auto"/>
      </w:divBdr>
    </w:div>
    <w:div w:id="1570572366">
      <w:bodyDiv w:val="1"/>
      <w:marLeft w:val="0"/>
      <w:marRight w:val="0"/>
      <w:marTop w:val="0"/>
      <w:marBottom w:val="0"/>
      <w:divBdr>
        <w:top w:val="none" w:sz="0" w:space="0" w:color="auto"/>
        <w:left w:val="none" w:sz="0" w:space="0" w:color="auto"/>
        <w:bottom w:val="none" w:sz="0" w:space="0" w:color="auto"/>
        <w:right w:val="none" w:sz="0" w:space="0" w:color="auto"/>
      </w:divBdr>
    </w:div>
    <w:div w:id="1605989999">
      <w:bodyDiv w:val="1"/>
      <w:marLeft w:val="0"/>
      <w:marRight w:val="0"/>
      <w:marTop w:val="0"/>
      <w:marBottom w:val="0"/>
      <w:divBdr>
        <w:top w:val="none" w:sz="0" w:space="0" w:color="auto"/>
        <w:left w:val="none" w:sz="0" w:space="0" w:color="auto"/>
        <w:bottom w:val="none" w:sz="0" w:space="0" w:color="auto"/>
        <w:right w:val="none" w:sz="0" w:space="0" w:color="auto"/>
      </w:divBdr>
    </w:div>
    <w:div w:id="1661616382">
      <w:bodyDiv w:val="1"/>
      <w:marLeft w:val="0"/>
      <w:marRight w:val="0"/>
      <w:marTop w:val="0"/>
      <w:marBottom w:val="0"/>
      <w:divBdr>
        <w:top w:val="none" w:sz="0" w:space="0" w:color="auto"/>
        <w:left w:val="none" w:sz="0" w:space="0" w:color="auto"/>
        <w:bottom w:val="none" w:sz="0" w:space="0" w:color="auto"/>
        <w:right w:val="none" w:sz="0" w:space="0" w:color="auto"/>
      </w:divBdr>
    </w:div>
    <w:div w:id="1756515706">
      <w:bodyDiv w:val="1"/>
      <w:marLeft w:val="0"/>
      <w:marRight w:val="0"/>
      <w:marTop w:val="0"/>
      <w:marBottom w:val="0"/>
      <w:divBdr>
        <w:top w:val="none" w:sz="0" w:space="0" w:color="auto"/>
        <w:left w:val="none" w:sz="0" w:space="0" w:color="auto"/>
        <w:bottom w:val="none" w:sz="0" w:space="0" w:color="auto"/>
        <w:right w:val="none" w:sz="0" w:space="0" w:color="auto"/>
      </w:divBdr>
    </w:div>
    <w:div w:id="1817137670">
      <w:bodyDiv w:val="1"/>
      <w:marLeft w:val="0"/>
      <w:marRight w:val="0"/>
      <w:marTop w:val="0"/>
      <w:marBottom w:val="0"/>
      <w:divBdr>
        <w:top w:val="none" w:sz="0" w:space="0" w:color="auto"/>
        <w:left w:val="none" w:sz="0" w:space="0" w:color="auto"/>
        <w:bottom w:val="none" w:sz="0" w:space="0" w:color="auto"/>
        <w:right w:val="none" w:sz="0" w:space="0" w:color="auto"/>
      </w:divBdr>
    </w:div>
    <w:div w:id="2003846737">
      <w:bodyDiv w:val="1"/>
      <w:marLeft w:val="0"/>
      <w:marRight w:val="0"/>
      <w:marTop w:val="0"/>
      <w:marBottom w:val="0"/>
      <w:divBdr>
        <w:top w:val="none" w:sz="0" w:space="0" w:color="auto"/>
        <w:left w:val="none" w:sz="0" w:space="0" w:color="auto"/>
        <w:bottom w:val="none" w:sz="0" w:space="0" w:color="auto"/>
        <w:right w:val="none" w:sz="0" w:space="0" w:color="auto"/>
      </w:divBdr>
    </w:div>
    <w:div w:id="2089111310">
      <w:bodyDiv w:val="1"/>
      <w:marLeft w:val="0"/>
      <w:marRight w:val="0"/>
      <w:marTop w:val="0"/>
      <w:marBottom w:val="0"/>
      <w:divBdr>
        <w:top w:val="none" w:sz="0" w:space="0" w:color="auto"/>
        <w:left w:val="none" w:sz="0" w:space="0" w:color="auto"/>
        <w:bottom w:val="none" w:sz="0" w:space="0" w:color="auto"/>
        <w:right w:val="none" w:sz="0" w:space="0" w:color="auto"/>
      </w:divBdr>
    </w:div>
    <w:div w:id="2121487431">
      <w:bodyDiv w:val="1"/>
      <w:marLeft w:val="0"/>
      <w:marRight w:val="0"/>
      <w:marTop w:val="0"/>
      <w:marBottom w:val="0"/>
      <w:divBdr>
        <w:top w:val="none" w:sz="0" w:space="0" w:color="auto"/>
        <w:left w:val="none" w:sz="0" w:space="0" w:color="auto"/>
        <w:bottom w:val="none" w:sz="0" w:space="0" w:color="auto"/>
        <w:right w:val="none" w:sz="0" w:space="0" w:color="auto"/>
      </w:divBdr>
    </w:div>
    <w:div w:id="2123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E5050-C37E-4504-88AC-F39385F0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Christian</dc:creator>
  <cp:keywords/>
  <dc:description/>
  <cp:lastModifiedBy>Mansfield, Joanne</cp:lastModifiedBy>
  <cp:revision>3</cp:revision>
  <cp:lastPrinted>2020-02-07T11:21:00Z</cp:lastPrinted>
  <dcterms:created xsi:type="dcterms:W3CDTF">2020-02-07T16:01:00Z</dcterms:created>
  <dcterms:modified xsi:type="dcterms:W3CDTF">2020-02-11T11:15:00Z</dcterms:modified>
</cp:coreProperties>
</file>